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21" w:rsidRDefault="008C1021" w:rsidP="000A6E1F">
      <w:pPr>
        <w:spacing w:after="0" w:line="240" w:lineRule="auto"/>
        <w:rPr>
          <w:rFonts w:ascii="Times New Roman" w:hAnsi="Times New Roman" w:cs="Times New Roman"/>
          <w:b/>
          <w:color w:val="333333"/>
          <w:sz w:val="24"/>
          <w:szCs w:val="28"/>
          <w:shd w:val="clear" w:color="auto" w:fill="FFFFFF"/>
        </w:rPr>
      </w:pPr>
      <w:r w:rsidRPr="000A6E1F">
        <w:rPr>
          <w:rFonts w:ascii="Times New Roman" w:hAnsi="Times New Roman" w:cs="Times New Roman"/>
          <w:b/>
          <w:color w:val="333333"/>
          <w:sz w:val="24"/>
          <w:szCs w:val="28"/>
          <w:shd w:val="clear" w:color="auto" w:fill="FFFFFF"/>
        </w:rPr>
        <w:t>УДК 338.24</w:t>
      </w:r>
    </w:p>
    <w:p w:rsidR="000A6E1F" w:rsidRPr="000A6E1F" w:rsidRDefault="000A6E1F" w:rsidP="000A6E1F">
      <w:pPr>
        <w:spacing w:after="0" w:line="240" w:lineRule="auto"/>
        <w:rPr>
          <w:rFonts w:ascii="Times New Roman" w:hAnsi="Times New Roman" w:cs="Times New Roman"/>
          <w:b/>
          <w:sz w:val="24"/>
          <w:szCs w:val="28"/>
        </w:rPr>
      </w:pPr>
    </w:p>
    <w:p w:rsidR="000B59D8" w:rsidRDefault="003B5D16" w:rsidP="0029564F">
      <w:pPr>
        <w:spacing w:after="0" w:line="240" w:lineRule="auto"/>
        <w:jc w:val="center"/>
        <w:rPr>
          <w:rFonts w:ascii="Times New Roman" w:hAnsi="Times New Roman" w:cs="Times New Roman"/>
          <w:b/>
          <w:sz w:val="24"/>
          <w:szCs w:val="24"/>
        </w:rPr>
      </w:pPr>
      <w:r w:rsidRPr="009B2CF0">
        <w:rPr>
          <w:rFonts w:ascii="Times New Roman" w:hAnsi="Times New Roman" w:cs="Times New Roman"/>
          <w:b/>
          <w:sz w:val="24"/>
          <w:szCs w:val="24"/>
        </w:rPr>
        <w:t>Инструментарий антикризисного менеджмента и необходимость его адаптации для компаний высокотехнологичного сектора экономики</w:t>
      </w:r>
    </w:p>
    <w:p w:rsidR="000A6E1F" w:rsidRPr="009B2CF0" w:rsidRDefault="000A6E1F" w:rsidP="00FE1999">
      <w:pPr>
        <w:spacing w:after="0" w:line="240" w:lineRule="auto"/>
        <w:jc w:val="right"/>
        <w:rPr>
          <w:rFonts w:ascii="Times New Roman" w:hAnsi="Times New Roman" w:cs="Times New Roman"/>
          <w:b/>
          <w:sz w:val="24"/>
          <w:szCs w:val="24"/>
        </w:rPr>
      </w:pPr>
    </w:p>
    <w:p w:rsidR="000A6E1F" w:rsidRPr="0029564F" w:rsidRDefault="00E85D82" w:rsidP="00FE1999">
      <w:pPr>
        <w:spacing w:after="0" w:line="240" w:lineRule="auto"/>
        <w:ind w:right="142"/>
        <w:jc w:val="right"/>
        <w:rPr>
          <w:rFonts w:ascii="Times New Roman" w:hAnsi="Times New Roman" w:cs="Times New Roman"/>
          <w:b/>
          <w:sz w:val="24"/>
          <w:szCs w:val="24"/>
        </w:rPr>
      </w:pPr>
      <w:r w:rsidRPr="0029564F">
        <w:rPr>
          <w:rFonts w:ascii="Times New Roman" w:hAnsi="Times New Roman" w:cs="Times New Roman"/>
          <w:b/>
          <w:sz w:val="24"/>
          <w:szCs w:val="24"/>
        </w:rPr>
        <w:t>Абрамова К.А.</w:t>
      </w:r>
      <w:r w:rsidR="000A6E1F" w:rsidRPr="0029564F">
        <w:rPr>
          <w:rFonts w:ascii="Times New Roman" w:hAnsi="Times New Roman" w:cs="Times New Roman"/>
          <w:b/>
          <w:sz w:val="24"/>
          <w:szCs w:val="24"/>
        </w:rPr>
        <w:t>,</w:t>
      </w:r>
      <w:r w:rsidRPr="0029564F">
        <w:rPr>
          <w:rFonts w:ascii="Times New Roman" w:eastAsia="Calibri" w:hAnsi="Times New Roman" w:cs="Times New Roman"/>
          <w:b/>
          <w:sz w:val="24"/>
          <w:szCs w:val="24"/>
          <w:vertAlign w:val="superscript"/>
          <w:lang w:eastAsia="ru-RU"/>
        </w:rPr>
        <w:t xml:space="preserve"> </w:t>
      </w:r>
      <w:r w:rsidR="000A6E1F" w:rsidRPr="0029564F">
        <w:rPr>
          <w:rFonts w:ascii="Times New Roman" w:hAnsi="Times New Roman" w:cs="Times New Roman"/>
          <w:b/>
          <w:sz w:val="24"/>
          <w:szCs w:val="24"/>
        </w:rPr>
        <w:t>Восканов А.С.</w:t>
      </w:r>
    </w:p>
    <w:p w:rsidR="000A6E1F" w:rsidRPr="0029564F" w:rsidRDefault="000A6E1F" w:rsidP="00FE1999">
      <w:pPr>
        <w:spacing w:after="0" w:line="240" w:lineRule="auto"/>
        <w:ind w:right="142"/>
        <w:jc w:val="right"/>
        <w:rPr>
          <w:rFonts w:ascii="Times New Roman" w:eastAsia="Calibri" w:hAnsi="Times New Roman" w:cs="Times New Roman"/>
          <w:b/>
          <w:sz w:val="24"/>
          <w:szCs w:val="24"/>
          <w:vertAlign w:val="superscript"/>
          <w:lang w:eastAsia="ru-RU"/>
        </w:rPr>
      </w:pPr>
    </w:p>
    <w:p w:rsidR="00FE1999" w:rsidRDefault="00663200" w:rsidP="00FE1999">
      <w:pPr>
        <w:spacing w:after="0" w:line="240" w:lineRule="auto"/>
        <w:ind w:right="142"/>
        <w:jc w:val="right"/>
        <w:rPr>
          <w:rFonts w:ascii="Times New Roman" w:eastAsia="Calibri" w:hAnsi="Times New Roman" w:cs="Times New Roman"/>
          <w:b/>
          <w:sz w:val="24"/>
          <w:szCs w:val="24"/>
          <w:lang w:eastAsia="ru-RU"/>
        </w:rPr>
      </w:pPr>
      <w:r w:rsidRPr="0029564F">
        <w:rPr>
          <w:rFonts w:ascii="Times New Roman" w:eastAsia="Calibri" w:hAnsi="Times New Roman" w:cs="Times New Roman"/>
          <w:b/>
          <w:sz w:val="24"/>
          <w:szCs w:val="24"/>
          <w:lang w:eastAsia="ru-RU"/>
        </w:rPr>
        <w:t>ФГ</w:t>
      </w:r>
      <w:r w:rsidR="00E85D82" w:rsidRPr="0029564F">
        <w:rPr>
          <w:rFonts w:ascii="Times New Roman" w:eastAsia="Calibri" w:hAnsi="Times New Roman" w:cs="Times New Roman"/>
          <w:b/>
          <w:sz w:val="24"/>
          <w:szCs w:val="24"/>
          <w:lang w:eastAsia="ru-RU"/>
        </w:rPr>
        <w:t>О</w:t>
      </w:r>
      <w:r w:rsidRPr="0029564F">
        <w:rPr>
          <w:rFonts w:ascii="Times New Roman" w:eastAsia="Calibri" w:hAnsi="Times New Roman" w:cs="Times New Roman"/>
          <w:b/>
          <w:sz w:val="24"/>
          <w:szCs w:val="24"/>
          <w:lang w:eastAsia="ru-RU"/>
        </w:rPr>
        <w:t>Б</w:t>
      </w:r>
      <w:r w:rsidR="00E85D82" w:rsidRPr="0029564F">
        <w:rPr>
          <w:rFonts w:ascii="Times New Roman" w:eastAsia="Calibri" w:hAnsi="Times New Roman" w:cs="Times New Roman"/>
          <w:b/>
          <w:sz w:val="24"/>
          <w:szCs w:val="24"/>
          <w:lang w:eastAsia="ru-RU"/>
        </w:rPr>
        <w:t>У ВПО «</w:t>
      </w:r>
      <w:r w:rsidRPr="0029564F">
        <w:rPr>
          <w:rFonts w:ascii="Times New Roman" w:eastAsia="Calibri" w:hAnsi="Times New Roman" w:cs="Times New Roman"/>
          <w:b/>
          <w:sz w:val="24"/>
          <w:szCs w:val="24"/>
          <w:lang w:eastAsia="ru-RU"/>
        </w:rPr>
        <w:t xml:space="preserve">Финансовый университет </w:t>
      </w:r>
    </w:p>
    <w:p w:rsidR="00FE1999" w:rsidRDefault="00663200" w:rsidP="00FE1999">
      <w:pPr>
        <w:spacing w:after="0" w:line="240" w:lineRule="auto"/>
        <w:ind w:right="142"/>
        <w:jc w:val="right"/>
        <w:rPr>
          <w:rFonts w:ascii="Times New Roman" w:eastAsia="Calibri" w:hAnsi="Times New Roman" w:cs="Times New Roman"/>
          <w:b/>
          <w:sz w:val="24"/>
          <w:szCs w:val="24"/>
          <w:lang w:eastAsia="ru-RU"/>
        </w:rPr>
      </w:pPr>
      <w:r w:rsidRPr="0029564F">
        <w:rPr>
          <w:rFonts w:ascii="Times New Roman" w:eastAsia="Calibri" w:hAnsi="Times New Roman" w:cs="Times New Roman"/>
          <w:b/>
          <w:sz w:val="24"/>
          <w:szCs w:val="24"/>
          <w:lang w:eastAsia="ru-RU"/>
        </w:rPr>
        <w:t>при Правительстве РФ»</w:t>
      </w:r>
      <w:r w:rsidR="00E85D82" w:rsidRPr="0029564F">
        <w:rPr>
          <w:rFonts w:ascii="Times New Roman" w:eastAsia="Calibri" w:hAnsi="Times New Roman" w:cs="Times New Roman"/>
          <w:b/>
          <w:sz w:val="24"/>
          <w:szCs w:val="24"/>
          <w:lang w:eastAsia="ru-RU"/>
        </w:rPr>
        <w:t>,</w:t>
      </w:r>
      <w:r w:rsidRPr="0029564F">
        <w:rPr>
          <w:rFonts w:ascii="Times New Roman" w:eastAsia="Calibri" w:hAnsi="Times New Roman" w:cs="Times New Roman"/>
          <w:b/>
          <w:sz w:val="24"/>
          <w:szCs w:val="24"/>
          <w:lang w:eastAsia="ru-RU"/>
        </w:rPr>
        <w:t xml:space="preserve"> Москва</w:t>
      </w:r>
      <w:r w:rsidR="00E85D82" w:rsidRPr="0029564F">
        <w:rPr>
          <w:rFonts w:ascii="Times New Roman" w:eastAsia="Calibri" w:hAnsi="Times New Roman" w:cs="Times New Roman"/>
          <w:b/>
          <w:sz w:val="24"/>
          <w:szCs w:val="24"/>
          <w:lang w:eastAsia="ru-RU"/>
        </w:rPr>
        <w:t xml:space="preserve">, </w:t>
      </w:r>
    </w:p>
    <w:p w:rsidR="00E85D82" w:rsidRPr="00FE1999" w:rsidRDefault="00E85D82" w:rsidP="00FE1999">
      <w:pPr>
        <w:spacing w:after="0" w:line="240" w:lineRule="auto"/>
        <w:ind w:right="142"/>
        <w:jc w:val="right"/>
        <w:rPr>
          <w:rFonts w:ascii="Times New Roman" w:hAnsi="Times New Roman" w:cs="Times New Roman"/>
          <w:b/>
          <w:sz w:val="24"/>
          <w:szCs w:val="24"/>
          <w:shd w:val="clear" w:color="auto" w:fill="FFFFFF"/>
          <w:lang w:val="en-US"/>
        </w:rPr>
      </w:pPr>
      <w:r w:rsidRPr="0029564F">
        <w:rPr>
          <w:rFonts w:ascii="Times New Roman" w:eastAsia="Calibri" w:hAnsi="Times New Roman" w:cs="Times New Roman"/>
          <w:b/>
          <w:sz w:val="24"/>
          <w:szCs w:val="24"/>
          <w:lang w:val="en-US" w:eastAsia="ru-RU"/>
        </w:rPr>
        <w:t>e</w:t>
      </w:r>
      <w:r w:rsidRPr="00FE1999">
        <w:rPr>
          <w:rFonts w:ascii="Times New Roman" w:eastAsia="Calibri" w:hAnsi="Times New Roman" w:cs="Times New Roman"/>
          <w:b/>
          <w:sz w:val="24"/>
          <w:szCs w:val="24"/>
          <w:lang w:val="en-US" w:eastAsia="ru-RU"/>
        </w:rPr>
        <w:t>-</w:t>
      </w:r>
      <w:r w:rsidRPr="0029564F">
        <w:rPr>
          <w:rFonts w:ascii="Times New Roman" w:eastAsia="Calibri" w:hAnsi="Times New Roman" w:cs="Times New Roman"/>
          <w:b/>
          <w:sz w:val="24"/>
          <w:szCs w:val="24"/>
          <w:lang w:val="en-US" w:eastAsia="ru-RU"/>
        </w:rPr>
        <w:t>mail</w:t>
      </w:r>
      <w:r w:rsidRPr="00FE1999">
        <w:rPr>
          <w:rFonts w:ascii="Times New Roman" w:eastAsia="Calibri" w:hAnsi="Times New Roman" w:cs="Times New Roman"/>
          <w:b/>
          <w:sz w:val="24"/>
          <w:szCs w:val="24"/>
          <w:lang w:val="en-US" w:eastAsia="ru-RU"/>
        </w:rPr>
        <w:t xml:space="preserve">: </w:t>
      </w:r>
      <w:hyperlink r:id="rId8" w:history="1">
        <w:r w:rsidR="000A6E1F" w:rsidRPr="0029564F">
          <w:rPr>
            <w:rStyle w:val="aa"/>
            <w:rFonts w:ascii="Times New Roman" w:eastAsia="Calibri" w:hAnsi="Times New Roman" w:cs="Times New Roman"/>
            <w:b/>
            <w:sz w:val="24"/>
            <w:szCs w:val="24"/>
            <w:lang w:val="en-US" w:eastAsia="ru-RU"/>
          </w:rPr>
          <w:t>Kriska</w:t>
        </w:r>
        <w:r w:rsidR="000A6E1F" w:rsidRPr="00FE1999">
          <w:rPr>
            <w:rStyle w:val="aa"/>
            <w:rFonts w:ascii="Times New Roman" w:eastAsia="Calibri" w:hAnsi="Times New Roman" w:cs="Times New Roman"/>
            <w:b/>
            <w:sz w:val="24"/>
            <w:szCs w:val="24"/>
            <w:lang w:val="en-US" w:eastAsia="ru-RU"/>
          </w:rPr>
          <w:t>12@</w:t>
        </w:r>
        <w:r w:rsidR="000A6E1F" w:rsidRPr="0029564F">
          <w:rPr>
            <w:rStyle w:val="aa"/>
            <w:rFonts w:ascii="Times New Roman" w:eastAsia="Calibri" w:hAnsi="Times New Roman" w:cs="Times New Roman"/>
            <w:b/>
            <w:sz w:val="24"/>
            <w:szCs w:val="24"/>
            <w:lang w:val="en-US" w:eastAsia="ru-RU"/>
          </w:rPr>
          <w:t>yandex</w:t>
        </w:r>
        <w:r w:rsidR="000A6E1F" w:rsidRPr="00FE1999">
          <w:rPr>
            <w:rStyle w:val="aa"/>
            <w:rFonts w:ascii="Times New Roman" w:eastAsia="Calibri" w:hAnsi="Times New Roman" w:cs="Times New Roman"/>
            <w:b/>
            <w:sz w:val="24"/>
            <w:szCs w:val="24"/>
            <w:lang w:val="en-US" w:eastAsia="ru-RU"/>
          </w:rPr>
          <w:t>.</w:t>
        </w:r>
        <w:r w:rsidR="000A6E1F" w:rsidRPr="0029564F">
          <w:rPr>
            <w:rStyle w:val="aa"/>
            <w:rFonts w:ascii="Times New Roman" w:eastAsia="Calibri" w:hAnsi="Times New Roman" w:cs="Times New Roman"/>
            <w:b/>
            <w:sz w:val="24"/>
            <w:szCs w:val="24"/>
            <w:lang w:val="en-US" w:eastAsia="ru-RU"/>
          </w:rPr>
          <w:t>ru</w:t>
        </w:r>
      </w:hyperlink>
      <w:r w:rsidR="000A6E1F" w:rsidRPr="00FE1999">
        <w:rPr>
          <w:rFonts w:ascii="Times New Roman" w:eastAsia="Calibri" w:hAnsi="Times New Roman" w:cs="Times New Roman"/>
          <w:b/>
          <w:sz w:val="24"/>
          <w:szCs w:val="24"/>
          <w:lang w:val="en-US" w:eastAsia="ru-RU"/>
        </w:rPr>
        <w:t xml:space="preserve">, </w:t>
      </w:r>
      <w:hyperlink r:id="rId9" w:history="1">
        <w:r w:rsidR="00233E37" w:rsidRPr="00FE1999">
          <w:rPr>
            <w:rStyle w:val="aa"/>
            <w:rFonts w:ascii="Times New Roman" w:hAnsi="Times New Roman" w:cs="Times New Roman"/>
            <w:b/>
            <w:sz w:val="24"/>
            <w:szCs w:val="24"/>
            <w:shd w:val="clear" w:color="auto" w:fill="FFFFFF"/>
            <w:lang w:val="en-US"/>
          </w:rPr>
          <w:t>alexkissman@mail.ru</w:t>
        </w:r>
      </w:hyperlink>
      <w:r w:rsidR="00233E37" w:rsidRPr="00FE1999">
        <w:rPr>
          <w:rFonts w:ascii="Times New Roman" w:hAnsi="Times New Roman" w:cs="Times New Roman"/>
          <w:b/>
          <w:sz w:val="24"/>
          <w:szCs w:val="24"/>
          <w:shd w:val="clear" w:color="auto" w:fill="FFFFFF"/>
          <w:lang w:val="en-US"/>
        </w:rPr>
        <w:t xml:space="preserve"> </w:t>
      </w:r>
    </w:p>
    <w:p w:rsidR="0029564F" w:rsidRPr="00FE1999" w:rsidRDefault="0029564F" w:rsidP="000A6E1F">
      <w:pPr>
        <w:spacing w:after="0" w:line="240" w:lineRule="auto"/>
        <w:ind w:right="142"/>
        <w:rPr>
          <w:rFonts w:ascii="Times New Roman" w:hAnsi="Times New Roman" w:cs="Times New Roman"/>
          <w:b/>
          <w:sz w:val="24"/>
          <w:szCs w:val="24"/>
          <w:shd w:val="clear" w:color="auto" w:fill="FFFFFF"/>
          <w:lang w:val="en-US"/>
        </w:rPr>
      </w:pPr>
    </w:p>
    <w:p w:rsidR="005C359C" w:rsidRPr="0029564F" w:rsidRDefault="0029564F" w:rsidP="000A6E1F">
      <w:pPr>
        <w:spacing w:after="0" w:line="240" w:lineRule="auto"/>
        <w:jc w:val="both"/>
        <w:rPr>
          <w:rFonts w:ascii="Times New Roman" w:hAnsi="Times New Roman" w:cs="Times New Roman"/>
          <w:sz w:val="24"/>
          <w:szCs w:val="24"/>
        </w:rPr>
      </w:pPr>
      <w:r w:rsidRPr="0029564F">
        <w:rPr>
          <w:rFonts w:ascii="Times New Roman" w:hAnsi="Times New Roman" w:cs="Times New Roman"/>
          <w:b/>
          <w:sz w:val="24"/>
          <w:szCs w:val="24"/>
        </w:rPr>
        <w:t>Аннотация.</w:t>
      </w:r>
      <w:r>
        <w:rPr>
          <w:rFonts w:ascii="Times New Roman" w:hAnsi="Times New Roman" w:cs="Times New Roman"/>
          <w:sz w:val="24"/>
          <w:szCs w:val="24"/>
        </w:rPr>
        <w:t xml:space="preserve"> </w:t>
      </w:r>
      <w:r w:rsidR="005C359C" w:rsidRPr="0029564F">
        <w:rPr>
          <w:rFonts w:ascii="Times New Roman" w:hAnsi="Times New Roman" w:cs="Times New Roman"/>
          <w:sz w:val="24"/>
          <w:szCs w:val="24"/>
        </w:rPr>
        <w:t>Антикризисный менеджмент является сложной и комплексной наукой, исследующей компании различных секторов экономики и предлагающей решения по диагностике кризиса и его преодолению. Однако, к сожалению, в данный момент инструменты антикризисного менеджмента до сих пор не являются абсолютно универсальными и базируются на «нормативах», сильно разнящихся от отрасли к отрасли. Поэтому возникает необходимость создания новых моделей диагностики риска банкротства, ориентированных на специфичные отрасли, такие</w:t>
      </w:r>
      <w:r w:rsidR="00FE1999">
        <w:rPr>
          <w:rFonts w:ascii="Times New Roman" w:hAnsi="Times New Roman" w:cs="Times New Roman"/>
          <w:sz w:val="24"/>
          <w:szCs w:val="24"/>
        </w:rPr>
        <w:t>,</w:t>
      </w:r>
      <w:r w:rsidR="005C359C" w:rsidRPr="0029564F">
        <w:rPr>
          <w:rFonts w:ascii="Times New Roman" w:hAnsi="Times New Roman" w:cs="Times New Roman"/>
          <w:sz w:val="24"/>
          <w:szCs w:val="24"/>
        </w:rPr>
        <w:t xml:space="preserve"> как высокотехнологичный сектор экономики. Методология исследования включает использование логического метода, метода экспертных оценок, метода статистического анализа и сопоставления данных. Кроме того, в статье рассмотрена модель Салова</w:t>
      </w:r>
      <w:r w:rsidR="00FE1999">
        <w:rPr>
          <w:rFonts w:ascii="Times New Roman" w:hAnsi="Times New Roman" w:cs="Times New Roman"/>
          <w:sz w:val="24"/>
          <w:szCs w:val="24"/>
        </w:rPr>
        <w:t xml:space="preserve"> –</w:t>
      </w:r>
      <w:r w:rsidR="005C359C" w:rsidRPr="0029564F">
        <w:rPr>
          <w:rFonts w:ascii="Times New Roman" w:hAnsi="Times New Roman" w:cs="Times New Roman"/>
          <w:sz w:val="24"/>
          <w:szCs w:val="24"/>
        </w:rPr>
        <w:t xml:space="preserve"> Маслова, определены основные индикаторы и показана специфик</w:t>
      </w:r>
      <w:r w:rsidR="00FE1999">
        <w:rPr>
          <w:rFonts w:ascii="Times New Roman" w:hAnsi="Times New Roman" w:cs="Times New Roman"/>
          <w:sz w:val="24"/>
          <w:szCs w:val="24"/>
        </w:rPr>
        <w:t>а</w:t>
      </w:r>
      <w:r w:rsidR="005C359C" w:rsidRPr="0029564F">
        <w:rPr>
          <w:rFonts w:ascii="Times New Roman" w:hAnsi="Times New Roman" w:cs="Times New Roman"/>
          <w:sz w:val="24"/>
          <w:szCs w:val="24"/>
        </w:rPr>
        <w:t xml:space="preserve"> развития компаний высокотехнологичного сектора. Особым вкладом авторов является анализ инструментария антикризисного менеджмента, условий и особенностей его применения для компаний высокотехнологичного сектора экономики. В настоящее время в России сформировались все необходимые условия для развития и расширения высокотехнологичных компаний, однако вызовы мировой экономики вносят свои коррективы, в связи с чем необходимо иметь в арсенале теоретически проработанные способы и ориентиры для антикризисного управления проблемными компаниями.</w:t>
      </w:r>
    </w:p>
    <w:p w:rsidR="005C359C" w:rsidRPr="0029564F" w:rsidRDefault="005C359C" w:rsidP="000A6E1F">
      <w:pPr>
        <w:spacing w:after="0" w:line="240" w:lineRule="auto"/>
        <w:jc w:val="both"/>
        <w:rPr>
          <w:rFonts w:ascii="Times New Roman" w:hAnsi="Times New Roman" w:cs="Times New Roman"/>
          <w:sz w:val="24"/>
          <w:szCs w:val="24"/>
        </w:rPr>
      </w:pPr>
    </w:p>
    <w:p w:rsidR="003F40A3" w:rsidRPr="0029564F" w:rsidRDefault="003F40A3" w:rsidP="000A6E1F">
      <w:pPr>
        <w:spacing w:after="0" w:line="240" w:lineRule="auto"/>
        <w:jc w:val="both"/>
        <w:rPr>
          <w:rFonts w:ascii="Times New Roman" w:eastAsia="TimesNewRomanPSMT" w:hAnsi="Times New Roman" w:cs="Times New Roman"/>
          <w:color w:val="000000"/>
          <w:sz w:val="24"/>
          <w:szCs w:val="24"/>
        </w:rPr>
      </w:pPr>
      <w:r w:rsidRPr="00FE1999">
        <w:rPr>
          <w:rFonts w:ascii="Times New Roman" w:eastAsia="TimesNewRomanPSMT" w:hAnsi="Times New Roman" w:cs="Times New Roman"/>
          <w:b/>
          <w:color w:val="000000"/>
          <w:sz w:val="24"/>
          <w:szCs w:val="24"/>
        </w:rPr>
        <w:t>Ключевые слова</w:t>
      </w:r>
      <w:r w:rsidR="00FE1999">
        <w:rPr>
          <w:rFonts w:ascii="Times New Roman" w:eastAsia="TimesNewRomanPSMT" w:hAnsi="Times New Roman" w:cs="Times New Roman"/>
          <w:b/>
          <w:color w:val="000000"/>
          <w:sz w:val="24"/>
          <w:szCs w:val="24"/>
        </w:rPr>
        <w:t>:</w:t>
      </w:r>
      <w:r w:rsidRPr="0029564F">
        <w:rPr>
          <w:rFonts w:ascii="Times New Roman" w:eastAsia="TimesNewRomanPSMT" w:hAnsi="Times New Roman" w:cs="Times New Roman"/>
          <w:color w:val="000000"/>
          <w:sz w:val="24"/>
          <w:szCs w:val="24"/>
        </w:rPr>
        <w:t xml:space="preserve"> антикризисный менеджмент, высокотехнологичные компании, инструментарий, адаптация, кризис, инновации.</w:t>
      </w:r>
    </w:p>
    <w:p w:rsidR="00663200" w:rsidRPr="009B2CF0" w:rsidRDefault="00663200" w:rsidP="000A6E1F">
      <w:pPr>
        <w:spacing w:after="0" w:line="240" w:lineRule="auto"/>
        <w:ind w:right="142"/>
        <w:rPr>
          <w:rFonts w:ascii="Times New Roman" w:hAnsi="Times New Roman" w:cs="Times New Roman"/>
          <w:b/>
          <w:i/>
          <w:sz w:val="24"/>
          <w:szCs w:val="24"/>
        </w:rPr>
      </w:pPr>
    </w:p>
    <w:p w:rsidR="00663200" w:rsidRPr="00233E37" w:rsidRDefault="00663200" w:rsidP="0029564F">
      <w:pPr>
        <w:spacing w:after="0" w:line="240" w:lineRule="auto"/>
        <w:ind w:firstLine="567"/>
        <w:jc w:val="center"/>
        <w:rPr>
          <w:rFonts w:ascii="Times New Roman" w:hAnsi="Times New Roman" w:cs="Times New Roman"/>
          <w:b/>
          <w:sz w:val="24"/>
          <w:szCs w:val="24"/>
          <w:lang w:val="en-US"/>
        </w:rPr>
      </w:pPr>
      <w:r w:rsidRPr="009B2CF0">
        <w:rPr>
          <w:rFonts w:ascii="Times New Roman" w:hAnsi="Times New Roman" w:cs="Times New Roman"/>
          <w:b/>
          <w:sz w:val="24"/>
          <w:szCs w:val="24"/>
          <w:lang w:val="en-US"/>
        </w:rPr>
        <w:t>CRISIS MANAGEMENT TOOLS AND THE NEED FOR ADAPTATION FOR COMPANIES IN THE HIGH-TECH SECTOR OF THE ECONOMY</w:t>
      </w:r>
    </w:p>
    <w:p w:rsidR="000A6E1F" w:rsidRPr="00233E37" w:rsidRDefault="000A6E1F" w:rsidP="000A6E1F">
      <w:pPr>
        <w:spacing w:after="0" w:line="240" w:lineRule="auto"/>
        <w:ind w:firstLine="567"/>
        <w:jc w:val="both"/>
        <w:rPr>
          <w:rFonts w:ascii="Times New Roman" w:hAnsi="Times New Roman" w:cs="Times New Roman"/>
          <w:b/>
          <w:sz w:val="24"/>
          <w:szCs w:val="24"/>
          <w:lang w:val="en-US"/>
        </w:rPr>
      </w:pPr>
    </w:p>
    <w:p w:rsidR="000A6E1F" w:rsidRPr="0029564F" w:rsidRDefault="00663200" w:rsidP="00FE1999">
      <w:pPr>
        <w:spacing w:after="0" w:line="240" w:lineRule="auto"/>
        <w:ind w:firstLine="708"/>
        <w:jc w:val="right"/>
        <w:rPr>
          <w:rFonts w:ascii="Times New Roman" w:eastAsia="TimesNewRomanPSMT" w:hAnsi="Times New Roman" w:cs="Times New Roman"/>
          <w:b/>
          <w:color w:val="000000"/>
          <w:sz w:val="24"/>
          <w:szCs w:val="24"/>
          <w:lang w:val="en-US"/>
        </w:rPr>
      </w:pPr>
      <w:r w:rsidRPr="0029564F">
        <w:rPr>
          <w:rFonts w:ascii="Times New Roman" w:eastAsia="TimesNewRomanPSMT" w:hAnsi="Times New Roman" w:cs="Times New Roman"/>
          <w:b/>
          <w:color w:val="000000"/>
          <w:sz w:val="24"/>
          <w:szCs w:val="24"/>
          <w:lang w:val="en-US"/>
        </w:rPr>
        <w:t xml:space="preserve">Abramova K. </w:t>
      </w:r>
      <w:r w:rsidR="009B2CF0" w:rsidRPr="0029564F">
        <w:rPr>
          <w:rFonts w:ascii="Times New Roman" w:eastAsia="TimesNewRomanPSMT" w:hAnsi="Times New Roman" w:cs="Times New Roman"/>
          <w:b/>
          <w:color w:val="000000"/>
          <w:sz w:val="24"/>
          <w:szCs w:val="24"/>
          <w:lang w:val="en-US"/>
        </w:rPr>
        <w:t>,</w:t>
      </w:r>
      <w:r w:rsidR="000A6E1F" w:rsidRPr="0029564F">
        <w:rPr>
          <w:rFonts w:ascii="Times New Roman" w:eastAsia="TimesNewRomanPSMT" w:hAnsi="Times New Roman" w:cs="Times New Roman"/>
          <w:b/>
          <w:color w:val="000000"/>
          <w:sz w:val="24"/>
          <w:szCs w:val="24"/>
          <w:lang w:val="en-US"/>
        </w:rPr>
        <w:t xml:space="preserve"> Voscanov A.</w:t>
      </w:r>
    </w:p>
    <w:p w:rsidR="00FE1999" w:rsidRDefault="008A79FF" w:rsidP="00FE1999">
      <w:pPr>
        <w:spacing w:after="0" w:line="240" w:lineRule="auto"/>
        <w:ind w:firstLine="708"/>
        <w:jc w:val="right"/>
        <w:rPr>
          <w:rFonts w:ascii="Times New Roman" w:hAnsi="Times New Roman" w:cs="Times New Roman"/>
          <w:b/>
          <w:bCs/>
          <w:color w:val="222222"/>
          <w:sz w:val="24"/>
          <w:szCs w:val="24"/>
          <w:shd w:val="clear" w:color="auto" w:fill="FFFFFF"/>
          <w:lang w:val="en-US"/>
        </w:rPr>
      </w:pPr>
      <w:r w:rsidRPr="0029564F">
        <w:rPr>
          <w:rFonts w:ascii="Times New Roman" w:hAnsi="Times New Roman" w:cs="Times New Roman"/>
          <w:b/>
          <w:i/>
          <w:color w:val="222222"/>
          <w:sz w:val="24"/>
          <w:szCs w:val="24"/>
          <w:shd w:val="clear" w:color="auto" w:fill="FFFFFF"/>
          <w:lang w:val="en-US"/>
        </w:rPr>
        <w:t> </w:t>
      </w:r>
      <w:r w:rsidRPr="0029564F">
        <w:rPr>
          <w:rFonts w:ascii="Times New Roman" w:hAnsi="Times New Roman" w:cs="Times New Roman"/>
          <w:b/>
          <w:bCs/>
          <w:color w:val="222222"/>
          <w:sz w:val="24"/>
          <w:szCs w:val="24"/>
          <w:shd w:val="clear" w:color="auto" w:fill="FFFFFF"/>
          <w:lang w:val="en-US"/>
        </w:rPr>
        <w:t xml:space="preserve">Financial University under </w:t>
      </w:r>
    </w:p>
    <w:p w:rsidR="003F40A3" w:rsidRPr="003B5D16" w:rsidRDefault="008A79FF" w:rsidP="00FE1999">
      <w:pPr>
        <w:spacing w:after="0" w:line="240" w:lineRule="auto"/>
        <w:ind w:firstLine="708"/>
        <w:jc w:val="right"/>
        <w:rPr>
          <w:rFonts w:ascii="Times New Roman" w:hAnsi="Times New Roman" w:cs="Times New Roman"/>
          <w:b/>
          <w:bCs/>
          <w:color w:val="222222"/>
          <w:sz w:val="24"/>
          <w:szCs w:val="24"/>
          <w:shd w:val="clear" w:color="auto" w:fill="FFFFFF"/>
          <w:lang w:val="en-US"/>
        </w:rPr>
      </w:pPr>
      <w:r w:rsidRPr="0029564F">
        <w:rPr>
          <w:rFonts w:ascii="Times New Roman" w:hAnsi="Times New Roman" w:cs="Times New Roman"/>
          <w:b/>
          <w:bCs/>
          <w:color w:val="222222"/>
          <w:sz w:val="24"/>
          <w:szCs w:val="24"/>
          <w:shd w:val="clear" w:color="auto" w:fill="FFFFFF"/>
          <w:lang w:val="en-US"/>
        </w:rPr>
        <w:t>the Government of the Russian Federation</w:t>
      </w:r>
    </w:p>
    <w:p w:rsidR="0029564F" w:rsidRPr="003B5D16" w:rsidRDefault="0029564F" w:rsidP="000A6E1F">
      <w:pPr>
        <w:spacing w:after="0" w:line="240" w:lineRule="auto"/>
        <w:ind w:firstLine="708"/>
        <w:jc w:val="both"/>
        <w:rPr>
          <w:rFonts w:ascii="Times New Roman" w:hAnsi="Times New Roman" w:cs="Times New Roman"/>
          <w:b/>
          <w:bCs/>
          <w:color w:val="222222"/>
          <w:sz w:val="20"/>
          <w:szCs w:val="24"/>
          <w:shd w:val="clear" w:color="auto" w:fill="FFFFFF"/>
          <w:lang w:val="en-US"/>
        </w:rPr>
      </w:pPr>
    </w:p>
    <w:p w:rsidR="003F40A3" w:rsidRPr="003B5D16" w:rsidRDefault="003F40A3" w:rsidP="005C359C">
      <w:pPr>
        <w:spacing w:after="0" w:line="240" w:lineRule="auto"/>
        <w:ind w:firstLine="567"/>
        <w:jc w:val="both"/>
        <w:rPr>
          <w:rFonts w:ascii="Times New Roman" w:hAnsi="Times New Roman" w:cs="Times New Roman"/>
          <w:sz w:val="24"/>
          <w:szCs w:val="24"/>
          <w:lang w:val="en-US"/>
        </w:rPr>
      </w:pPr>
      <w:r w:rsidRPr="0029564F">
        <w:rPr>
          <w:rFonts w:ascii="Times New Roman" w:hAnsi="Times New Roman" w:cs="Times New Roman"/>
          <w:b/>
          <w:sz w:val="24"/>
          <w:szCs w:val="24"/>
          <w:lang w:val="en-US"/>
        </w:rPr>
        <w:t>Abstract</w:t>
      </w:r>
      <w:r w:rsidRPr="0029564F">
        <w:rPr>
          <w:rFonts w:ascii="Times New Roman" w:hAnsi="Times New Roman" w:cs="Times New Roman"/>
          <w:b/>
          <w:i/>
          <w:sz w:val="24"/>
          <w:szCs w:val="24"/>
          <w:lang w:val="en-US"/>
        </w:rPr>
        <w:t>.</w:t>
      </w:r>
      <w:r w:rsidRPr="0029564F">
        <w:rPr>
          <w:rFonts w:ascii="Times New Roman" w:hAnsi="Times New Roman" w:cs="Times New Roman"/>
          <w:sz w:val="24"/>
          <w:szCs w:val="24"/>
          <w:lang w:val="en-US"/>
        </w:rPr>
        <w:t xml:space="preserve"> </w:t>
      </w:r>
      <w:r w:rsidR="005C359C" w:rsidRPr="0029564F">
        <w:rPr>
          <w:rFonts w:ascii="Times New Roman" w:hAnsi="Times New Roman" w:cs="Times New Roman"/>
          <w:sz w:val="24"/>
          <w:szCs w:val="24"/>
          <w:lang w:val="en-US"/>
        </w:rPr>
        <w:t xml:space="preserve">Crisis management is a complex and complex science that studies companies in various sectors of the economy and offers solutions for diagnosing and overcoming the crisis. However, unfortunately, at the moment, crisis management tools are still not completely universal and are based on “standards”, which vary greatly from industry to industry. Therefore, there is a need to create new models for diagnosing bankruptcy risk, focused on specific industries, such as the high-tech sector of the economy. The research methodology includes the use of the logical method, the method of expert estimates, the method of statistical analysis and data comparison. In addition, the article considers the Salov-Maslov model, identifies key indicators, and shows the specifics of the development of high-tech sector companies. A special contribution of the authors is the analysis of crisis management tools, conditions and features of its application for companies in the high-tech sector of the economy. At present, all the necessary conditions for the development and expansion of high-tech companies have been formed in Russia, however, the challenges of the global economy are </w:t>
      </w:r>
      <w:r w:rsidR="005C359C" w:rsidRPr="0029564F">
        <w:rPr>
          <w:rFonts w:ascii="Times New Roman" w:hAnsi="Times New Roman" w:cs="Times New Roman"/>
          <w:sz w:val="24"/>
          <w:szCs w:val="24"/>
          <w:lang w:val="en-US"/>
        </w:rPr>
        <w:lastRenderedPageBreak/>
        <w:t>making their own adjustments, and therefore it is necessary to have theoretically developed methods and guidelines for crisis management of problematic companies in the arsenal.</w:t>
      </w:r>
    </w:p>
    <w:p w:rsidR="0029564F" w:rsidRPr="003B5D16" w:rsidRDefault="0029564F" w:rsidP="005C359C">
      <w:pPr>
        <w:spacing w:after="0" w:line="240" w:lineRule="auto"/>
        <w:ind w:firstLine="567"/>
        <w:jc w:val="both"/>
        <w:rPr>
          <w:rFonts w:ascii="Times New Roman" w:hAnsi="Times New Roman" w:cs="Times New Roman"/>
          <w:sz w:val="24"/>
          <w:szCs w:val="24"/>
          <w:lang w:val="en-US"/>
        </w:rPr>
      </w:pPr>
    </w:p>
    <w:p w:rsidR="005C359C" w:rsidRPr="0029564F" w:rsidRDefault="0029564F" w:rsidP="005C359C">
      <w:pPr>
        <w:spacing w:after="0" w:line="240" w:lineRule="auto"/>
        <w:ind w:firstLine="567"/>
        <w:jc w:val="both"/>
        <w:rPr>
          <w:rFonts w:ascii="Times New Roman" w:hAnsi="Times New Roman" w:cs="Times New Roman"/>
          <w:sz w:val="24"/>
          <w:szCs w:val="24"/>
          <w:lang w:val="en-US"/>
        </w:rPr>
      </w:pPr>
      <w:r w:rsidRPr="00FE1999">
        <w:rPr>
          <w:rFonts w:ascii="Times New Roman" w:hAnsi="Times New Roman" w:cs="Times New Roman"/>
          <w:b/>
          <w:sz w:val="24"/>
          <w:szCs w:val="24"/>
          <w:lang w:val="en-US"/>
        </w:rPr>
        <w:t>Keywords</w:t>
      </w:r>
      <w:r w:rsidR="00FE1999" w:rsidRPr="00FE1999">
        <w:rPr>
          <w:rFonts w:ascii="Times New Roman" w:hAnsi="Times New Roman" w:cs="Times New Roman"/>
          <w:b/>
          <w:sz w:val="24"/>
          <w:szCs w:val="24"/>
          <w:lang w:val="en-US"/>
        </w:rPr>
        <w:t>:</w:t>
      </w:r>
      <w:r w:rsidRPr="0029564F">
        <w:rPr>
          <w:rFonts w:ascii="Times New Roman" w:hAnsi="Times New Roman" w:cs="Times New Roman"/>
          <w:sz w:val="24"/>
          <w:szCs w:val="24"/>
          <w:lang w:val="en-US"/>
        </w:rPr>
        <w:t xml:space="preserve"> anti-crisis management, high-tech companies, tools, adaptation, crisis, innovation</w:t>
      </w:r>
    </w:p>
    <w:p w:rsidR="0029564F" w:rsidRPr="0029564F" w:rsidRDefault="0029564F" w:rsidP="005C359C">
      <w:pPr>
        <w:spacing w:after="0" w:line="240" w:lineRule="auto"/>
        <w:ind w:firstLine="567"/>
        <w:jc w:val="both"/>
        <w:rPr>
          <w:rFonts w:ascii="Times New Roman" w:hAnsi="Times New Roman" w:cs="Times New Roman"/>
          <w:sz w:val="24"/>
          <w:szCs w:val="24"/>
          <w:lang w:val="en-US"/>
        </w:rPr>
      </w:pPr>
    </w:p>
    <w:p w:rsidR="00B80FDD" w:rsidRDefault="009B2CF0" w:rsidP="00233E37">
      <w:pPr>
        <w:pStyle w:val="1"/>
      </w:pPr>
      <w:r w:rsidRPr="00296144">
        <w:rPr>
          <w:b/>
        </w:rPr>
        <w:t>Введение</w:t>
      </w:r>
      <w:r w:rsidR="00B944A7" w:rsidRPr="009B2CF0">
        <w:rPr>
          <w:b/>
        </w:rPr>
        <w:t>.</w:t>
      </w:r>
      <w:r w:rsidR="00B944A7" w:rsidRPr="009B2CF0">
        <w:t xml:space="preserve"> </w:t>
      </w:r>
      <w:r w:rsidR="00171BE0" w:rsidRPr="009B2CF0">
        <w:t>Антикризисный менеджмент является комплексной наукой, исследующ</w:t>
      </w:r>
      <w:r w:rsidR="00FE1999">
        <w:t>е</w:t>
      </w:r>
      <w:r w:rsidR="00171BE0" w:rsidRPr="009B2CF0">
        <w:t>й кризисные явления на макро</w:t>
      </w:r>
      <w:r w:rsidR="00FE1999">
        <w:t>-</w:t>
      </w:r>
      <w:r w:rsidR="00171BE0" w:rsidRPr="009B2CF0">
        <w:t xml:space="preserve"> и микроуровнях и предлагающей решения для хозяйствующих субъектов для предотвращения кризиса, его диагностики и использования кризиса для роста компании.</w:t>
      </w:r>
      <w:r w:rsidR="0060666A" w:rsidRPr="009B2CF0">
        <w:t xml:space="preserve"> </w:t>
      </w:r>
      <w:r w:rsidR="00693097">
        <w:t xml:space="preserve">Основная цель антикризисного управления </w:t>
      </w:r>
      <w:r w:rsidR="00830204">
        <w:t>–</w:t>
      </w:r>
      <w:r w:rsidR="00693097">
        <w:t xml:space="preserve"> </w:t>
      </w:r>
      <w:r w:rsidR="00B80FDD" w:rsidRPr="00B80FDD">
        <w:t xml:space="preserve">изменить вектор влияния факторов, неблагоприятных для компании, путем использования всех существующих средств и методов современного менеджмента, а также формирования и реализации специальной стратегической программы в компании, направленной на устранение временных трудностей, поддержание и </w:t>
      </w:r>
      <w:r w:rsidR="00B80FDD">
        <w:t>расширени</w:t>
      </w:r>
      <w:r w:rsidR="00FE1999">
        <w:t>е</w:t>
      </w:r>
      <w:r w:rsidR="00B80FDD">
        <w:t xml:space="preserve"> позиции</w:t>
      </w:r>
      <w:r w:rsidR="00B80FDD" w:rsidRPr="00B80FDD">
        <w:t xml:space="preserve"> на рынке в любых условиях</w:t>
      </w:r>
      <w:r w:rsidR="00FE1999">
        <w:t>,</w:t>
      </w:r>
      <w:r w:rsidR="00B80FDD" w:rsidRPr="00B80FDD">
        <w:t xml:space="preserve"> </w:t>
      </w:r>
      <w:r w:rsidR="00B4291F">
        <w:t>используя</w:t>
      </w:r>
      <w:r w:rsidR="00B80FDD" w:rsidRPr="00B80FDD">
        <w:t xml:space="preserve"> собственны</w:t>
      </w:r>
      <w:r w:rsidR="00B4291F">
        <w:t>е</w:t>
      </w:r>
      <w:r w:rsidR="00B80FDD" w:rsidRPr="00B80FDD">
        <w:t xml:space="preserve"> ресурс</w:t>
      </w:r>
      <w:r w:rsidR="00B4291F">
        <w:t>ы</w:t>
      </w:r>
      <w:r w:rsidR="00B80FDD" w:rsidRPr="00B80FDD">
        <w:t>.</w:t>
      </w:r>
    </w:p>
    <w:p w:rsidR="00233E37" w:rsidRDefault="00233E37" w:rsidP="00233E37">
      <w:pPr>
        <w:pStyle w:val="1"/>
      </w:pPr>
      <w:r w:rsidRPr="00233E37">
        <w:t>В современно</w:t>
      </w:r>
      <w:r w:rsidR="00830204">
        <w:t>й экономической системе пр</w:t>
      </w:r>
      <w:r w:rsidRPr="00233E37">
        <w:t xml:space="preserve">еимущества получают те компании, которые </w:t>
      </w:r>
      <w:r w:rsidR="00830204">
        <w:t xml:space="preserve">не только </w:t>
      </w:r>
      <w:r w:rsidRPr="00233E37">
        <w:t>успева</w:t>
      </w:r>
      <w:r w:rsidR="00830204">
        <w:t>ю</w:t>
      </w:r>
      <w:r w:rsidRPr="00233E37">
        <w:t xml:space="preserve">т реагировать на </w:t>
      </w:r>
      <w:r w:rsidR="00830204">
        <w:t xml:space="preserve">бесконечно меняющиеся условия </w:t>
      </w:r>
      <w:r w:rsidRPr="00233E37">
        <w:t>внешней среды, но и стрем</w:t>
      </w:r>
      <w:r w:rsidR="00830204">
        <w:t>ят</w:t>
      </w:r>
      <w:r w:rsidRPr="00233E37">
        <w:t>ся влиять на эту среду, создавая новые рынки</w:t>
      </w:r>
      <w:r>
        <w:t>, новые продукты и потребности</w:t>
      </w:r>
      <w:r w:rsidRPr="00233E37">
        <w:t xml:space="preserve">. </w:t>
      </w:r>
      <w:r w:rsidR="00830204">
        <w:t>Именно такой рынок формируют высокотехнологичные компании</w:t>
      </w:r>
      <w:r>
        <w:t xml:space="preserve">. </w:t>
      </w:r>
    </w:p>
    <w:p w:rsidR="003E1407" w:rsidRPr="009B2CF0" w:rsidRDefault="00693097" w:rsidP="00233E37">
      <w:pPr>
        <w:pStyle w:val="1"/>
      </w:pPr>
      <w:r>
        <w:t>Т</w:t>
      </w:r>
      <w:r w:rsidR="0060666A" w:rsidRPr="009B2CF0">
        <w:t>ак как</w:t>
      </w:r>
      <w:r w:rsidR="005943AF" w:rsidRPr="009B2CF0">
        <w:t xml:space="preserve"> компании высокотехнологичных отраслей имеют определенную специфику, связанную с большим количеством НИиОКР в их деятельности, а также интеллектуальной собственности</w:t>
      </w:r>
      <w:r w:rsidR="0060666A" w:rsidRPr="009B2CF0">
        <w:t>, н</w:t>
      </w:r>
      <w:r w:rsidR="005943AF" w:rsidRPr="009B2CF0">
        <w:t>е учитывать такие ключевые факторы при анализе вероятности банкротства или обычном коэффициент</w:t>
      </w:r>
      <w:r w:rsidR="00FE1999">
        <w:t>н</w:t>
      </w:r>
      <w:r w:rsidR="005943AF" w:rsidRPr="009B2CF0">
        <w:t>ом анализе неправильно и даже опасно.</w:t>
      </w:r>
    </w:p>
    <w:p w:rsidR="009B2CF0" w:rsidRPr="009B2CF0" w:rsidRDefault="0060666A" w:rsidP="003C48A7">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Однако в отечественной литературе недостат</w:t>
      </w:r>
      <w:r w:rsidR="00CE7BED" w:rsidRPr="009B2CF0">
        <w:rPr>
          <w:rFonts w:ascii="Times New Roman" w:hAnsi="Times New Roman" w:cs="Times New Roman"/>
          <w:sz w:val="24"/>
          <w:szCs w:val="24"/>
        </w:rPr>
        <w:t>очно проработан данны</w:t>
      </w:r>
      <w:r w:rsidR="00A34081" w:rsidRPr="009B2CF0">
        <w:rPr>
          <w:rFonts w:ascii="Times New Roman" w:hAnsi="Times New Roman" w:cs="Times New Roman"/>
          <w:sz w:val="24"/>
          <w:szCs w:val="24"/>
        </w:rPr>
        <w:t xml:space="preserve">й вопрос. </w:t>
      </w:r>
      <w:r w:rsidR="009B2CF0" w:rsidRPr="009B2CF0">
        <w:rPr>
          <w:rFonts w:ascii="Times New Roman" w:hAnsi="Times New Roman" w:cs="Times New Roman"/>
          <w:sz w:val="24"/>
          <w:szCs w:val="24"/>
        </w:rPr>
        <w:t>Теория ан</w:t>
      </w:r>
      <w:r w:rsidR="00A34081" w:rsidRPr="009B2CF0">
        <w:rPr>
          <w:rFonts w:ascii="Times New Roman" w:hAnsi="Times New Roman" w:cs="Times New Roman"/>
          <w:sz w:val="24"/>
          <w:szCs w:val="24"/>
        </w:rPr>
        <w:t>тикризисн</w:t>
      </w:r>
      <w:r w:rsidR="009B2CF0" w:rsidRPr="009B2CF0">
        <w:rPr>
          <w:rFonts w:ascii="Times New Roman" w:hAnsi="Times New Roman" w:cs="Times New Roman"/>
          <w:sz w:val="24"/>
          <w:szCs w:val="24"/>
        </w:rPr>
        <w:t>ого</w:t>
      </w:r>
      <w:r w:rsidR="00A34081" w:rsidRPr="009B2CF0">
        <w:rPr>
          <w:rFonts w:ascii="Times New Roman" w:hAnsi="Times New Roman" w:cs="Times New Roman"/>
          <w:sz w:val="24"/>
          <w:szCs w:val="24"/>
        </w:rPr>
        <w:t xml:space="preserve"> менеджмент</w:t>
      </w:r>
      <w:r w:rsidR="009B2CF0" w:rsidRPr="009B2CF0">
        <w:rPr>
          <w:rFonts w:ascii="Times New Roman" w:hAnsi="Times New Roman" w:cs="Times New Roman"/>
          <w:sz w:val="24"/>
          <w:szCs w:val="24"/>
        </w:rPr>
        <w:t>а</w:t>
      </w:r>
      <w:r w:rsidR="00A34081" w:rsidRPr="009B2CF0">
        <w:rPr>
          <w:rFonts w:ascii="Times New Roman" w:hAnsi="Times New Roman" w:cs="Times New Roman"/>
          <w:sz w:val="24"/>
          <w:szCs w:val="24"/>
        </w:rPr>
        <w:t xml:space="preserve"> носит общий характер, мало ориентируясь на отраслевые особенности, которые имеют большую важность при диагностике состояния предприятия. </w:t>
      </w:r>
      <w:r w:rsidRPr="009B2CF0">
        <w:rPr>
          <w:rFonts w:ascii="Times New Roman" w:hAnsi="Times New Roman" w:cs="Times New Roman"/>
          <w:sz w:val="24"/>
          <w:szCs w:val="24"/>
        </w:rPr>
        <w:t>Актуальность выбранной темы обосновывается низкой степенью разработанности данного вопроса в научной литературе, а также проблемой недостаточной оптимизаци</w:t>
      </w:r>
      <w:r w:rsidR="00DB64A1" w:rsidRPr="009B2CF0">
        <w:rPr>
          <w:rFonts w:ascii="Times New Roman" w:hAnsi="Times New Roman" w:cs="Times New Roman"/>
          <w:sz w:val="24"/>
          <w:szCs w:val="24"/>
        </w:rPr>
        <w:t>ей</w:t>
      </w:r>
      <w:r w:rsidRPr="009B2CF0">
        <w:rPr>
          <w:rFonts w:ascii="Times New Roman" w:hAnsi="Times New Roman" w:cs="Times New Roman"/>
          <w:sz w:val="24"/>
          <w:szCs w:val="24"/>
        </w:rPr>
        <w:t xml:space="preserve"> моделей анализа банкротства к российским реалиям. Также</w:t>
      </w:r>
      <w:r w:rsidR="00A34081" w:rsidRPr="009B2CF0">
        <w:rPr>
          <w:rFonts w:ascii="Times New Roman" w:hAnsi="Times New Roman" w:cs="Times New Roman"/>
          <w:sz w:val="24"/>
          <w:szCs w:val="24"/>
        </w:rPr>
        <w:t xml:space="preserve"> важность разработки</w:t>
      </w:r>
      <w:r w:rsidRPr="009B2CF0">
        <w:rPr>
          <w:rFonts w:ascii="Times New Roman" w:hAnsi="Times New Roman" w:cs="Times New Roman"/>
          <w:sz w:val="24"/>
          <w:szCs w:val="24"/>
        </w:rPr>
        <w:t xml:space="preserve"> темы базируется на необходимости выявления специфики деятельности высокотехнологичных компаний. </w:t>
      </w:r>
    </w:p>
    <w:p w:rsidR="000875B9" w:rsidRPr="009B2CF0" w:rsidRDefault="009B2CF0" w:rsidP="003C48A7">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b/>
          <w:sz w:val="24"/>
          <w:szCs w:val="24"/>
        </w:rPr>
        <w:t>Цель исследования.</w:t>
      </w:r>
      <w:r w:rsidRPr="009B2CF0">
        <w:rPr>
          <w:rFonts w:ascii="Times New Roman" w:hAnsi="Times New Roman" w:cs="Times New Roman"/>
          <w:sz w:val="24"/>
          <w:szCs w:val="24"/>
        </w:rPr>
        <w:t xml:space="preserve"> </w:t>
      </w:r>
      <w:r w:rsidR="0035072B" w:rsidRPr="009B2CF0">
        <w:rPr>
          <w:rFonts w:ascii="Times New Roman" w:hAnsi="Times New Roman" w:cs="Times New Roman"/>
          <w:sz w:val="24"/>
          <w:szCs w:val="24"/>
        </w:rPr>
        <w:t xml:space="preserve">В данной </w:t>
      </w:r>
      <w:r w:rsidR="0060666A" w:rsidRPr="009B2CF0">
        <w:rPr>
          <w:rFonts w:ascii="Times New Roman" w:hAnsi="Times New Roman" w:cs="Times New Roman"/>
          <w:sz w:val="24"/>
          <w:szCs w:val="24"/>
        </w:rPr>
        <w:t>статье</w:t>
      </w:r>
      <w:r w:rsidR="0035072B" w:rsidRPr="009B2CF0">
        <w:rPr>
          <w:rFonts w:ascii="Times New Roman" w:hAnsi="Times New Roman" w:cs="Times New Roman"/>
          <w:sz w:val="24"/>
          <w:szCs w:val="24"/>
        </w:rPr>
        <w:t xml:space="preserve"> представлены основные понятия антикризисного менеджмента, инструментарий для анализа вероятности банкротства предприятия, а также проанализирована методика ба</w:t>
      </w:r>
      <w:r w:rsidR="00FE1999">
        <w:rPr>
          <w:rFonts w:ascii="Times New Roman" w:hAnsi="Times New Roman" w:cs="Times New Roman"/>
          <w:sz w:val="24"/>
          <w:szCs w:val="24"/>
        </w:rPr>
        <w:t>л</w:t>
      </w:r>
      <w:r w:rsidR="0035072B" w:rsidRPr="009B2CF0">
        <w:rPr>
          <w:rFonts w:ascii="Times New Roman" w:hAnsi="Times New Roman" w:cs="Times New Roman"/>
          <w:sz w:val="24"/>
          <w:szCs w:val="24"/>
        </w:rPr>
        <w:t>льной модели оценки вероятности банкротства.</w:t>
      </w:r>
      <w:r w:rsidR="001F08C4" w:rsidRPr="009B2CF0">
        <w:rPr>
          <w:rFonts w:ascii="Times New Roman" w:hAnsi="Times New Roman" w:cs="Times New Roman"/>
          <w:sz w:val="24"/>
          <w:szCs w:val="24"/>
        </w:rPr>
        <w:t xml:space="preserve"> </w:t>
      </w:r>
      <w:r w:rsidR="0060666A" w:rsidRPr="009B2CF0">
        <w:rPr>
          <w:rFonts w:ascii="Times New Roman" w:hAnsi="Times New Roman" w:cs="Times New Roman"/>
          <w:sz w:val="24"/>
          <w:szCs w:val="24"/>
        </w:rPr>
        <w:t xml:space="preserve">Кроме того, </w:t>
      </w:r>
      <w:r w:rsidR="001F08C4" w:rsidRPr="009B2CF0">
        <w:rPr>
          <w:rFonts w:ascii="Times New Roman" w:hAnsi="Times New Roman" w:cs="Times New Roman"/>
          <w:sz w:val="24"/>
          <w:szCs w:val="24"/>
        </w:rPr>
        <w:t>проанализирован понятийный р</w:t>
      </w:r>
      <w:r w:rsidR="0060666A" w:rsidRPr="009B2CF0">
        <w:rPr>
          <w:rFonts w:ascii="Times New Roman" w:hAnsi="Times New Roman" w:cs="Times New Roman"/>
          <w:sz w:val="24"/>
          <w:szCs w:val="24"/>
        </w:rPr>
        <w:t xml:space="preserve">яд высокотехнологичных компаний </w:t>
      </w:r>
      <w:r w:rsidR="001F08C4" w:rsidRPr="009B2CF0">
        <w:rPr>
          <w:rFonts w:ascii="Times New Roman" w:hAnsi="Times New Roman" w:cs="Times New Roman"/>
          <w:sz w:val="24"/>
          <w:szCs w:val="24"/>
        </w:rPr>
        <w:t>с целью выявления слабых сторон современного инструментария антикризисного менеджмента компаний с большой долей НИиОКР</w:t>
      </w:r>
      <w:r w:rsidR="0060666A" w:rsidRPr="009B2CF0">
        <w:rPr>
          <w:rFonts w:ascii="Times New Roman" w:hAnsi="Times New Roman" w:cs="Times New Roman"/>
          <w:sz w:val="24"/>
          <w:szCs w:val="24"/>
        </w:rPr>
        <w:t xml:space="preserve"> в </w:t>
      </w:r>
      <w:r w:rsidR="00E8284F" w:rsidRPr="009B2CF0">
        <w:rPr>
          <w:rFonts w:ascii="Times New Roman" w:hAnsi="Times New Roman" w:cs="Times New Roman"/>
          <w:sz w:val="24"/>
          <w:szCs w:val="24"/>
        </w:rPr>
        <w:t>структуре операционной деятельности</w:t>
      </w:r>
      <w:r w:rsidR="001F08C4" w:rsidRPr="009B2CF0">
        <w:rPr>
          <w:rFonts w:ascii="Times New Roman" w:hAnsi="Times New Roman" w:cs="Times New Roman"/>
          <w:sz w:val="24"/>
          <w:szCs w:val="24"/>
        </w:rPr>
        <w:t>.</w:t>
      </w:r>
      <w:r w:rsidR="00CA1B7A" w:rsidRPr="009B2CF0">
        <w:rPr>
          <w:rFonts w:ascii="Times New Roman" w:hAnsi="Times New Roman" w:cs="Times New Roman"/>
          <w:sz w:val="24"/>
          <w:szCs w:val="24"/>
        </w:rPr>
        <w:t xml:space="preserve"> </w:t>
      </w:r>
      <w:r w:rsidR="00CA1B7A" w:rsidRPr="009B2CF0">
        <w:rPr>
          <w:rFonts w:ascii="Times New Roman" w:hAnsi="Times New Roman" w:cs="Times New Roman"/>
          <w:sz w:val="24"/>
          <w:szCs w:val="24"/>
          <w:lang w:val="en-US"/>
        </w:rPr>
        <w:t>C</w:t>
      </w:r>
      <w:r w:rsidR="000875B9" w:rsidRPr="009B2CF0">
        <w:rPr>
          <w:rFonts w:ascii="Times New Roman" w:hAnsi="Times New Roman" w:cs="Times New Roman"/>
          <w:sz w:val="24"/>
          <w:szCs w:val="24"/>
        </w:rPr>
        <w:t xml:space="preserve">тоит заметить, что недостаточно проработан вопрос антикризисного управления </w:t>
      </w:r>
      <w:r w:rsidR="00DB64A1" w:rsidRPr="009B2CF0">
        <w:rPr>
          <w:rFonts w:ascii="Times New Roman" w:hAnsi="Times New Roman" w:cs="Times New Roman"/>
          <w:sz w:val="24"/>
          <w:szCs w:val="24"/>
        </w:rPr>
        <w:t xml:space="preserve">именно </w:t>
      </w:r>
      <w:r w:rsidR="000875B9" w:rsidRPr="009B2CF0">
        <w:rPr>
          <w:rFonts w:ascii="Times New Roman" w:hAnsi="Times New Roman" w:cs="Times New Roman"/>
          <w:sz w:val="24"/>
          <w:szCs w:val="24"/>
        </w:rPr>
        <w:t>в высокотехнологичных компания</w:t>
      </w:r>
      <w:r w:rsidR="00DB64A1" w:rsidRPr="009B2CF0">
        <w:rPr>
          <w:rFonts w:ascii="Times New Roman" w:hAnsi="Times New Roman" w:cs="Times New Roman"/>
          <w:sz w:val="24"/>
          <w:szCs w:val="24"/>
        </w:rPr>
        <w:t>х</w:t>
      </w:r>
      <w:r w:rsidR="000875B9" w:rsidRPr="009B2CF0">
        <w:rPr>
          <w:rFonts w:ascii="Times New Roman" w:hAnsi="Times New Roman" w:cs="Times New Roman"/>
          <w:sz w:val="24"/>
          <w:szCs w:val="24"/>
        </w:rPr>
        <w:t>, что делает тему статьи особенно актуальной в сложившихся условиях.</w:t>
      </w:r>
    </w:p>
    <w:p w:rsidR="00B944A7" w:rsidRPr="009B2CF0" w:rsidRDefault="00B4291F" w:rsidP="000B59D8">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М</w:t>
      </w:r>
      <w:r w:rsidR="009B2CF0" w:rsidRPr="009B2CF0">
        <w:rPr>
          <w:rFonts w:ascii="Times New Roman" w:hAnsi="Times New Roman" w:cs="Times New Roman"/>
          <w:b/>
          <w:sz w:val="24"/>
          <w:szCs w:val="24"/>
        </w:rPr>
        <w:t xml:space="preserve">етоды </w:t>
      </w:r>
      <w:r>
        <w:rPr>
          <w:rFonts w:ascii="Times New Roman" w:hAnsi="Times New Roman" w:cs="Times New Roman"/>
          <w:b/>
          <w:sz w:val="24"/>
          <w:szCs w:val="24"/>
        </w:rPr>
        <w:t>и материал исследования</w:t>
      </w:r>
      <w:r w:rsidR="00B944A7" w:rsidRPr="009B2CF0">
        <w:rPr>
          <w:rFonts w:ascii="Times New Roman" w:hAnsi="Times New Roman" w:cs="Times New Roman"/>
          <w:b/>
          <w:sz w:val="24"/>
          <w:szCs w:val="24"/>
        </w:rPr>
        <w:t>.</w:t>
      </w:r>
      <w:r w:rsidR="00DB64A1" w:rsidRPr="009B2CF0">
        <w:rPr>
          <w:rFonts w:ascii="Times New Roman" w:hAnsi="Times New Roman" w:cs="Times New Roman"/>
          <w:b/>
          <w:sz w:val="24"/>
          <w:szCs w:val="24"/>
        </w:rPr>
        <w:t xml:space="preserve"> </w:t>
      </w:r>
      <w:r w:rsidR="00E378D0" w:rsidRPr="009B2CF0">
        <w:rPr>
          <w:rFonts w:ascii="Times New Roman" w:hAnsi="Times New Roman" w:cs="Times New Roman"/>
          <w:sz w:val="24"/>
          <w:szCs w:val="24"/>
        </w:rPr>
        <w:t xml:space="preserve">Для определения особенностей высокотехнологичных компаний для начала </w:t>
      </w:r>
      <w:r w:rsidR="00B944A7" w:rsidRPr="009B2CF0">
        <w:rPr>
          <w:rFonts w:ascii="Times New Roman" w:hAnsi="Times New Roman" w:cs="Times New Roman"/>
          <w:sz w:val="24"/>
          <w:szCs w:val="24"/>
        </w:rPr>
        <w:t xml:space="preserve">стоит определиться с пониманием того, какие компании в данный момент можно называть высокотехнологичными. </w:t>
      </w:r>
      <w:r w:rsidR="00E378D0" w:rsidRPr="009B2CF0">
        <w:rPr>
          <w:rFonts w:ascii="Times New Roman" w:hAnsi="Times New Roman" w:cs="Times New Roman"/>
          <w:sz w:val="24"/>
          <w:szCs w:val="24"/>
        </w:rPr>
        <w:t>Существует большое количество различных взглядов на понимание высоких технологий, рассмотрим некоторые из них далее.</w:t>
      </w:r>
    </w:p>
    <w:p w:rsidR="004804A5" w:rsidRDefault="004804A5" w:rsidP="004804A5">
      <w:pPr>
        <w:pStyle w:val="1"/>
      </w:pPr>
      <w:r>
        <w:t>К сектору высокотехнологичных отраслей относят виды экономической деятельности, характеризующиеся высоким уровнем технологического развития. В эту групп</w:t>
      </w:r>
      <w:r w:rsidR="00830204">
        <w:t xml:space="preserve">у </w:t>
      </w:r>
      <w:r>
        <w:t>традиционно включаются производственные виды экономической деятельности. К числу наукоемких видов экономической деятельности обычно относят виды</w:t>
      </w:r>
      <w:r w:rsidR="00830204">
        <w:t xml:space="preserve"> </w:t>
      </w:r>
      <w:r>
        <w:t>экономической деятельности, производящие услуги. В настоящее время существуют различные подходы к выделению высокотехнологичного сектора экономики, что находит сво</w:t>
      </w:r>
      <w:r w:rsidR="00FE1999">
        <w:t>е</w:t>
      </w:r>
      <w:r>
        <w:t xml:space="preserve"> отражение в дифференциации перечней отраслей высокотехнологичного сектора экономики, приводимого разными авторами.</w:t>
      </w:r>
    </w:p>
    <w:p w:rsidR="000875B9" w:rsidRPr="009B2CF0" w:rsidRDefault="00FA7CC5" w:rsidP="00233E37">
      <w:pPr>
        <w:pStyle w:val="1"/>
      </w:pPr>
      <w:r>
        <w:t>По определению многих исследователей, под высокотехнологичными компаниями понимаются компании, функционирующие в высокотехнологичных отраслях, таких</w:t>
      </w:r>
      <w:r w:rsidR="00FE1999">
        <w:t>,</w:t>
      </w:r>
      <w:r>
        <w:t xml:space="preserve"> как: авиация, радиоэлектроника, медицина и многие другие. То есть в отраслях, в которых уровень наукоемкости составляет 3,5%</w:t>
      </w:r>
      <w:r w:rsidR="00B4291F">
        <w:t xml:space="preserve"> и более </w:t>
      </w:r>
      <w:r w:rsidR="00B944A7" w:rsidRPr="009B2CF0">
        <w:t>[1</w:t>
      </w:r>
      <w:r>
        <w:t>, С. 238</w:t>
      </w:r>
      <w:r w:rsidR="00B944A7" w:rsidRPr="009B2CF0">
        <w:t>]</w:t>
      </w:r>
      <w:r w:rsidR="00B4291F">
        <w:t>.</w:t>
      </w:r>
      <w:r w:rsidR="00532323" w:rsidRPr="009B2CF0">
        <w:t xml:space="preserve"> Это</w:t>
      </w:r>
      <w:r w:rsidR="00B4291F">
        <w:t xml:space="preserve"> дает возможность сделать вывод,</w:t>
      </w:r>
      <w:r w:rsidR="00532323" w:rsidRPr="009B2CF0">
        <w:t xml:space="preserve"> что у компаний</w:t>
      </w:r>
      <w:r w:rsidR="00B4291F">
        <w:t xml:space="preserve">, относящихся к сектору </w:t>
      </w:r>
      <w:r w:rsidR="00532323" w:rsidRPr="009B2CF0">
        <w:t>высокотехнологичных отраслей</w:t>
      </w:r>
      <w:r w:rsidR="00B4291F">
        <w:t>,</w:t>
      </w:r>
      <w:r w:rsidR="00532323" w:rsidRPr="009B2CF0">
        <w:t xml:space="preserve"> большая часть активов относится к разделу внеоборотных активов, </w:t>
      </w:r>
      <w:r w:rsidR="00B4291F">
        <w:t>включающих</w:t>
      </w:r>
      <w:r w:rsidR="00532323" w:rsidRPr="009B2CF0">
        <w:t xml:space="preserve"> в себ</w:t>
      </w:r>
      <w:r w:rsidR="00B4291F">
        <w:t>я</w:t>
      </w:r>
      <w:r w:rsidR="00532323" w:rsidRPr="009B2CF0">
        <w:t xml:space="preserve"> интеллекту</w:t>
      </w:r>
      <w:r w:rsidR="00B4291F">
        <w:t>альную собственность и</w:t>
      </w:r>
      <w:r w:rsidR="00532323" w:rsidRPr="009B2CF0">
        <w:t xml:space="preserve"> нематериальные активы</w:t>
      </w:r>
      <w:r w:rsidR="00B4291F">
        <w:t xml:space="preserve"> различного характера</w:t>
      </w:r>
      <w:r w:rsidR="00532323" w:rsidRPr="009B2CF0">
        <w:t>.</w:t>
      </w:r>
      <w:r w:rsidR="002C5F05">
        <w:t xml:space="preserve"> </w:t>
      </w:r>
    </w:p>
    <w:p w:rsidR="00D3604E" w:rsidRPr="00D3604E" w:rsidRDefault="00D3604E" w:rsidP="00D3604E">
      <w:pPr>
        <w:spacing w:after="0" w:line="360" w:lineRule="auto"/>
        <w:ind w:firstLine="567"/>
        <w:jc w:val="both"/>
        <w:rPr>
          <w:rFonts w:ascii="Times New Roman" w:hAnsi="Times New Roman" w:cs="Times New Roman"/>
          <w:sz w:val="24"/>
          <w:szCs w:val="24"/>
        </w:rPr>
      </w:pPr>
      <w:r w:rsidRPr="00D3604E">
        <w:rPr>
          <w:rFonts w:ascii="Times New Roman" w:hAnsi="Times New Roman" w:cs="Times New Roman"/>
          <w:sz w:val="24"/>
          <w:szCs w:val="24"/>
        </w:rPr>
        <w:t xml:space="preserve">Для отнесения отрасли или компании к категории высокотехнологичных </w:t>
      </w:r>
      <w:r>
        <w:rPr>
          <w:rFonts w:ascii="Times New Roman" w:hAnsi="Times New Roman" w:cs="Times New Roman"/>
          <w:sz w:val="24"/>
          <w:szCs w:val="24"/>
        </w:rPr>
        <w:t xml:space="preserve">учеными используется </w:t>
      </w:r>
      <w:r w:rsidRPr="0073254F">
        <w:rPr>
          <w:rFonts w:ascii="Times New Roman" w:hAnsi="Times New Roman" w:cs="Times New Roman"/>
          <w:sz w:val="24"/>
          <w:szCs w:val="24"/>
        </w:rPr>
        <w:t>несколько критериев [2</w:t>
      </w:r>
      <w:r w:rsidR="0073254F" w:rsidRPr="0073254F">
        <w:rPr>
          <w:rFonts w:ascii="Times New Roman" w:hAnsi="Times New Roman" w:cs="Times New Roman"/>
          <w:sz w:val="24"/>
          <w:szCs w:val="24"/>
        </w:rPr>
        <w:t>, С. 47</w:t>
      </w:r>
      <w:r w:rsidRPr="0073254F">
        <w:rPr>
          <w:rFonts w:ascii="Times New Roman" w:hAnsi="Times New Roman" w:cs="Times New Roman"/>
          <w:sz w:val="24"/>
          <w:szCs w:val="24"/>
        </w:rPr>
        <w:t>]:</w:t>
      </w:r>
    </w:p>
    <w:p w:rsidR="00D3604E" w:rsidRPr="00D3604E" w:rsidRDefault="00D3604E" w:rsidP="00D3604E">
      <w:pPr>
        <w:spacing w:after="0" w:line="360" w:lineRule="auto"/>
        <w:ind w:firstLine="567"/>
        <w:jc w:val="both"/>
        <w:rPr>
          <w:rFonts w:ascii="Times New Roman" w:hAnsi="Times New Roman" w:cs="Times New Roman"/>
          <w:sz w:val="24"/>
          <w:szCs w:val="24"/>
        </w:rPr>
      </w:pPr>
      <w:r w:rsidRPr="00D3604E">
        <w:rPr>
          <w:rFonts w:ascii="Times New Roman" w:hAnsi="Times New Roman" w:cs="Times New Roman"/>
          <w:sz w:val="24"/>
          <w:szCs w:val="24"/>
        </w:rPr>
        <w:t>1.</w:t>
      </w:r>
      <w:r w:rsidRPr="00D3604E">
        <w:rPr>
          <w:rFonts w:ascii="Times New Roman" w:hAnsi="Times New Roman" w:cs="Times New Roman"/>
          <w:sz w:val="24"/>
          <w:szCs w:val="24"/>
        </w:rPr>
        <w:tab/>
        <w:t xml:space="preserve">Уровень наукоемкости. В настоящее время </w:t>
      </w:r>
      <w:r w:rsidR="002E1A54">
        <w:rPr>
          <w:rFonts w:ascii="Times New Roman" w:hAnsi="Times New Roman" w:cs="Times New Roman"/>
          <w:sz w:val="24"/>
          <w:szCs w:val="24"/>
        </w:rPr>
        <w:t>высокотехнологичная продукция – это та продукция, при производстве которой уровень наукоемкости составляет 3,5% и более.</w:t>
      </w:r>
      <w:r w:rsidR="00FE1999">
        <w:rPr>
          <w:rFonts w:ascii="Times New Roman" w:hAnsi="Times New Roman" w:cs="Times New Roman"/>
          <w:sz w:val="24"/>
          <w:szCs w:val="24"/>
        </w:rPr>
        <w:t xml:space="preserve"> Уровень наукоемкости – </w:t>
      </w:r>
      <w:r w:rsidRPr="00D3604E">
        <w:rPr>
          <w:rFonts w:ascii="Times New Roman" w:hAnsi="Times New Roman" w:cs="Times New Roman"/>
          <w:sz w:val="24"/>
          <w:szCs w:val="24"/>
        </w:rPr>
        <w:t xml:space="preserve">это доля расходов компании на исследования для получения знания в области технологии в целях стимулирования инновации в области фундаментальных и прикладных исследований, отнесенная к результатам производства. Производство представляет собой ведущую наукоемкую технологию, если уровень наукоемкости превышает 8,5%. Уровень наукоемкости 2,5% представляет категорию среднего уровня, а 0,5% </w:t>
      </w:r>
      <w:r w:rsidR="00FE1999">
        <w:rPr>
          <w:rFonts w:ascii="Times New Roman" w:hAnsi="Times New Roman" w:cs="Times New Roman"/>
          <w:sz w:val="24"/>
          <w:szCs w:val="24"/>
        </w:rPr>
        <w:t>–</w:t>
      </w:r>
      <w:r w:rsidRPr="00D3604E">
        <w:rPr>
          <w:rFonts w:ascii="Times New Roman" w:hAnsi="Times New Roman" w:cs="Times New Roman"/>
          <w:sz w:val="24"/>
          <w:szCs w:val="24"/>
        </w:rPr>
        <w:t xml:space="preserve"> низкого</w:t>
      </w:r>
      <w:r w:rsidR="002E1A54">
        <w:rPr>
          <w:rFonts w:ascii="Times New Roman" w:hAnsi="Times New Roman" w:cs="Times New Roman"/>
          <w:sz w:val="24"/>
          <w:szCs w:val="24"/>
        </w:rPr>
        <w:t xml:space="preserve"> </w:t>
      </w:r>
      <w:r w:rsidR="002E1A54" w:rsidRPr="002E1A54">
        <w:rPr>
          <w:rFonts w:ascii="Times New Roman" w:hAnsi="Times New Roman" w:cs="Times New Roman"/>
          <w:sz w:val="24"/>
          <w:szCs w:val="24"/>
        </w:rPr>
        <w:t>[3</w:t>
      </w:r>
      <w:r w:rsidR="002E1A54">
        <w:rPr>
          <w:rFonts w:ascii="Times New Roman" w:hAnsi="Times New Roman" w:cs="Times New Roman"/>
          <w:sz w:val="24"/>
          <w:szCs w:val="24"/>
        </w:rPr>
        <w:t>, С. 335</w:t>
      </w:r>
      <w:r w:rsidR="002E1A54" w:rsidRPr="002E1A54">
        <w:rPr>
          <w:rFonts w:ascii="Times New Roman" w:hAnsi="Times New Roman" w:cs="Times New Roman"/>
          <w:sz w:val="24"/>
          <w:szCs w:val="24"/>
        </w:rPr>
        <w:t>]</w:t>
      </w:r>
      <w:r w:rsidRPr="00D3604E">
        <w:rPr>
          <w:rFonts w:ascii="Times New Roman" w:hAnsi="Times New Roman" w:cs="Times New Roman"/>
          <w:sz w:val="24"/>
          <w:szCs w:val="24"/>
        </w:rPr>
        <w:t xml:space="preserve">. </w:t>
      </w:r>
    </w:p>
    <w:p w:rsidR="00D3604E" w:rsidRPr="00D3604E" w:rsidRDefault="00D3604E" w:rsidP="00D3604E">
      <w:pPr>
        <w:spacing w:after="0" w:line="360" w:lineRule="auto"/>
        <w:ind w:firstLine="567"/>
        <w:jc w:val="both"/>
        <w:rPr>
          <w:rFonts w:ascii="Times New Roman" w:hAnsi="Times New Roman" w:cs="Times New Roman"/>
          <w:sz w:val="24"/>
          <w:szCs w:val="24"/>
        </w:rPr>
      </w:pPr>
      <w:r w:rsidRPr="00D3604E">
        <w:rPr>
          <w:rFonts w:ascii="Times New Roman" w:hAnsi="Times New Roman" w:cs="Times New Roman"/>
          <w:sz w:val="24"/>
          <w:szCs w:val="24"/>
        </w:rPr>
        <w:t>2.</w:t>
      </w:r>
      <w:r w:rsidRPr="00D3604E">
        <w:rPr>
          <w:rFonts w:ascii="Times New Roman" w:hAnsi="Times New Roman" w:cs="Times New Roman"/>
          <w:sz w:val="24"/>
          <w:szCs w:val="24"/>
        </w:rPr>
        <w:tab/>
        <w:t>Наукоотдача. Критерий, сопоставляющий объемы продаж высокотехнологичной продукции по отношению к затратам на НИОКР за конкретный период времени, обычно за год. Насколько эффективна наукоотдача на конкретном предприятии</w:t>
      </w:r>
      <w:r w:rsidR="00FE1999">
        <w:rPr>
          <w:rFonts w:ascii="Times New Roman" w:hAnsi="Times New Roman" w:cs="Times New Roman"/>
          <w:sz w:val="24"/>
          <w:szCs w:val="24"/>
        </w:rPr>
        <w:t>,</w:t>
      </w:r>
      <w:r w:rsidRPr="00D3604E">
        <w:rPr>
          <w:rFonts w:ascii="Times New Roman" w:hAnsi="Times New Roman" w:cs="Times New Roman"/>
          <w:sz w:val="24"/>
          <w:szCs w:val="24"/>
        </w:rPr>
        <w:t xml:space="preserve"> показывает рост продаж новой, качественно отличной от предыдущего поколения продукции относительно роста всего рынка данной высокотехнологичной продукции, который включает в себя устаревшие, но тем не менее все еще востребованные на рынке технологии.</w:t>
      </w:r>
    </w:p>
    <w:p w:rsidR="00D3604E" w:rsidRPr="00D3604E" w:rsidRDefault="00D3604E" w:rsidP="00D3604E">
      <w:pPr>
        <w:spacing w:after="0" w:line="360" w:lineRule="auto"/>
        <w:ind w:firstLine="567"/>
        <w:jc w:val="both"/>
        <w:rPr>
          <w:rFonts w:ascii="Times New Roman" w:hAnsi="Times New Roman" w:cs="Times New Roman"/>
          <w:sz w:val="24"/>
          <w:szCs w:val="24"/>
        </w:rPr>
      </w:pPr>
      <w:r w:rsidRPr="00D3604E">
        <w:rPr>
          <w:rFonts w:ascii="Times New Roman" w:hAnsi="Times New Roman" w:cs="Times New Roman"/>
          <w:sz w:val="24"/>
          <w:szCs w:val="24"/>
        </w:rPr>
        <w:lastRenderedPageBreak/>
        <w:t>3.</w:t>
      </w:r>
      <w:r w:rsidRPr="00D3604E">
        <w:rPr>
          <w:rFonts w:ascii="Times New Roman" w:hAnsi="Times New Roman" w:cs="Times New Roman"/>
          <w:sz w:val="24"/>
          <w:szCs w:val="24"/>
        </w:rPr>
        <w:tab/>
        <w:t>Индекс высоких технологий и инновационный индекс</w:t>
      </w:r>
      <w:r w:rsidR="00ED5FEE">
        <w:rPr>
          <w:rFonts w:ascii="Times New Roman" w:hAnsi="Times New Roman" w:cs="Times New Roman"/>
          <w:sz w:val="24"/>
          <w:szCs w:val="24"/>
        </w:rPr>
        <w:t>.</w:t>
      </w:r>
      <w:r w:rsidRPr="00D3604E">
        <w:rPr>
          <w:rFonts w:ascii="Times New Roman" w:hAnsi="Times New Roman" w:cs="Times New Roman"/>
          <w:sz w:val="24"/>
          <w:szCs w:val="24"/>
        </w:rPr>
        <w:t xml:space="preserve"> Для оценки уровня развития технологий используются ежегодно вычисляемые индекс высоких технологий и инновационный индекс. Они отражают отношение занятых в сфере НИОКР в конкретной отрасли к совокупной занятости в данной отрасли. Индекс высоких технологий, разработанный некоммерческим аналитическим центром Милкена, отражает степень концентрации высокотехнологичных предприятий на определенных территориях. Индекс характеризуется двумя факторами: отношением продукции высокотехнологичных компаний в конкретном регионе к общенациональному производству в определенной отрасли; отношением доли высокотехнологичных предприятий региона в валовом внутреннем продукте к доле высокотехнологичных компаний в ВВП страны. Глобальный инновационный индекс рассчитывается как число зарегистрированных за год инновационных патентов в стране на душу населения, он также используется для оценки уровня инноваций за фиксированный период, чаще всего за год. Разработан в результате совместных исследований Бостонской консалтинговой группы и Национальной ассоциации производителей. При расчете индекса учитываются доля инновационных отчислений в фискальной политике государства, а также как применяются технологии в сферах образования и промышленности. Кроме того, особое внимание уделяется эффективности разработанных патентов, т.е. происходит ли передача технологий, оценивается производительность труда и результаты предпринимательской деятельности в данной сфере, а также учитывается наличие бизнес-миграции и экономический рост при применении патента.</w:t>
      </w:r>
    </w:p>
    <w:p w:rsidR="004804A5" w:rsidRDefault="00D3604E" w:rsidP="00D3604E">
      <w:pPr>
        <w:spacing w:after="0" w:line="360" w:lineRule="auto"/>
        <w:ind w:firstLine="567"/>
        <w:jc w:val="both"/>
        <w:rPr>
          <w:rFonts w:ascii="Times New Roman" w:hAnsi="Times New Roman" w:cs="Times New Roman"/>
          <w:sz w:val="24"/>
          <w:szCs w:val="24"/>
        </w:rPr>
      </w:pPr>
      <w:r w:rsidRPr="00D3604E">
        <w:rPr>
          <w:rFonts w:ascii="Times New Roman" w:hAnsi="Times New Roman" w:cs="Times New Roman"/>
          <w:sz w:val="24"/>
          <w:szCs w:val="24"/>
        </w:rPr>
        <w:t>4.</w:t>
      </w:r>
      <w:r w:rsidRPr="00D3604E">
        <w:rPr>
          <w:rFonts w:ascii="Times New Roman" w:hAnsi="Times New Roman" w:cs="Times New Roman"/>
          <w:sz w:val="24"/>
          <w:szCs w:val="24"/>
        </w:rPr>
        <w:tab/>
        <w:t>Нацеленность на коммерциализацию результатов научной деятельности. Значительная часть международных центров исследования при формировании группы высокотехнологичных отраслей опира</w:t>
      </w:r>
      <w:r w:rsidR="00ED5FEE">
        <w:rPr>
          <w:rFonts w:ascii="Times New Roman" w:hAnsi="Times New Roman" w:cs="Times New Roman"/>
          <w:sz w:val="24"/>
          <w:szCs w:val="24"/>
        </w:rPr>
        <w:t>е</w:t>
      </w:r>
      <w:r w:rsidRPr="00D3604E">
        <w:rPr>
          <w:rFonts w:ascii="Times New Roman" w:hAnsi="Times New Roman" w:cs="Times New Roman"/>
          <w:sz w:val="24"/>
          <w:szCs w:val="24"/>
        </w:rPr>
        <w:t>тся на коммерциализацию результатов деятельности компаний в национальном и международном направлении развития технологий, а также науки и техники.</w:t>
      </w:r>
    </w:p>
    <w:p w:rsidR="005519C7" w:rsidRPr="009B2CF0" w:rsidRDefault="00D3604E" w:rsidP="000B59D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По мнению авторов</w:t>
      </w:r>
      <w:r w:rsidR="00B944A7" w:rsidRPr="009B2CF0">
        <w:rPr>
          <w:rFonts w:ascii="Times New Roman" w:hAnsi="Times New Roman" w:cs="Times New Roman"/>
          <w:sz w:val="24"/>
          <w:szCs w:val="24"/>
        </w:rPr>
        <w:t>, вы</w:t>
      </w:r>
      <w:r w:rsidR="005519C7" w:rsidRPr="009B2CF0">
        <w:rPr>
          <w:rFonts w:ascii="Times New Roman" w:hAnsi="Times New Roman" w:cs="Times New Roman"/>
          <w:sz w:val="24"/>
          <w:szCs w:val="24"/>
        </w:rPr>
        <w:t xml:space="preserve">сокотехнологичность компании определяется не столько принадлежностью к высокотехнологичному сектору экономики, </w:t>
      </w:r>
      <w:r w:rsidR="004804A5">
        <w:rPr>
          <w:rFonts w:ascii="Times New Roman" w:hAnsi="Times New Roman" w:cs="Times New Roman"/>
          <w:sz w:val="24"/>
          <w:szCs w:val="24"/>
        </w:rPr>
        <w:t>сколько</w:t>
      </w:r>
      <w:r w:rsidR="005519C7" w:rsidRPr="009B2CF0">
        <w:rPr>
          <w:rFonts w:ascii="Times New Roman" w:hAnsi="Times New Roman" w:cs="Times New Roman"/>
          <w:sz w:val="24"/>
          <w:szCs w:val="24"/>
        </w:rPr>
        <w:t xml:space="preserve"> ориентацией стратегии на инновационные факторы развития. </w:t>
      </w:r>
      <w:r w:rsidR="00CE7BED" w:rsidRPr="009B2CF0">
        <w:rPr>
          <w:rFonts w:ascii="Times New Roman" w:hAnsi="Times New Roman" w:cs="Times New Roman"/>
          <w:sz w:val="24"/>
          <w:szCs w:val="24"/>
        </w:rPr>
        <w:t>И</w:t>
      </w:r>
      <w:r w:rsidR="005519C7" w:rsidRPr="009B2CF0">
        <w:rPr>
          <w:rFonts w:ascii="Times New Roman" w:hAnsi="Times New Roman" w:cs="Times New Roman"/>
          <w:sz w:val="24"/>
          <w:szCs w:val="24"/>
        </w:rPr>
        <w:t>нновационная деятельность должна носить комплексный характер, а значит, охватывать все ключевые бизнес-процессы</w:t>
      </w:r>
      <w:r w:rsidR="00CE7BED" w:rsidRPr="009B2CF0">
        <w:rPr>
          <w:rFonts w:ascii="Times New Roman" w:hAnsi="Times New Roman" w:cs="Times New Roman"/>
          <w:sz w:val="24"/>
          <w:szCs w:val="24"/>
        </w:rPr>
        <w:t xml:space="preserve"> </w:t>
      </w:r>
      <w:r w:rsidR="005519C7" w:rsidRPr="009B2CF0">
        <w:rPr>
          <w:rFonts w:ascii="Times New Roman" w:hAnsi="Times New Roman" w:cs="Times New Roman"/>
          <w:sz w:val="24"/>
          <w:szCs w:val="24"/>
        </w:rPr>
        <w:t>на предприятии. Такой подход предполагает создание и исп</w:t>
      </w:r>
      <w:r w:rsidR="0073254F">
        <w:rPr>
          <w:rFonts w:ascii="Times New Roman" w:hAnsi="Times New Roman" w:cs="Times New Roman"/>
          <w:sz w:val="24"/>
          <w:szCs w:val="24"/>
        </w:rPr>
        <w:t>ользование системы инноваций [</w:t>
      </w:r>
      <w:r w:rsidR="002E1A54">
        <w:rPr>
          <w:rFonts w:ascii="Times New Roman" w:hAnsi="Times New Roman" w:cs="Times New Roman"/>
          <w:sz w:val="24"/>
          <w:szCs w:val="24"/>
        </w:rPr>
        <w:t>4</w:t>
      </w:r>
      <w:r w:rsidR="006932CD" w:rsidRPr="009B2CF0">
        <w:rPr>
          <w:rFonts w:ascii="Times New Roman" w:hAnsi="Times New Roman" w:cs="Times New Roman"/>
          <w:sz w:val="24"/>
          <w:szCs w:val="24"/>
        </w:rPr>
        <w:t>, С. 56</w:t>
      </w:r>
      <w:r w:rsidR="005519C7" w:rsidRPr="009B2CF0">
        <w:rPr>
          <w:rFonts w:ascii="Times New Roman" w:hAnsi="Times New Roman" w:cs="Times New Roman"/>
          <w:sz w:val="24"/>
          <w:szCs w:val="24"/>
        </w:rPr>
        <w:t>]</w:t>
      </w:r>
      <w:r w:rsidR="002E1A54">
        <w:rPr>
          <w:rFonts w:ascii="Times New Roman" w:hAnsi="Times New Roman" w:cs="Times New Roman"/>
          <w:sz w:val="24"/>
          <w:szCs w:val="24"/>
        </w:rPr>
        <w:t>.</w:t>
      </w:r>
    </w:p>
    <w:p w:rsidR="006932CD" w:rsidRPr="009B2CF0" w:rsidRDefault="006932CD" w:rsidP="000B59D8">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Так</w:t>
      </w:r>
      <w:r w:rsidR="00D3604E">
        <w:rPr>
          <w:rFonts w:ascii="Times New Roman" w:hAnsi="Times New Roman" w:cs="Times New Roman"/>
          <w:sz w:val="24"/>
          <w:szCs w:val="24"/>
        </w:rPr>
        <w:t xml:space="preserve"> как</w:t>
      </w:r>
      <w:r w:rsidRPr="009B2CF0">
        <w:rPr>
          <w:rFonts w:ascii="Times New Roman" w:hAnsi="Times New Roman" w:cs="Times New Roman"/>
          <w:sz w:val="24"/>
          <w:szCs w:val="24"/>
        </w:rPr>
        <w:t xml:space="preserve"> под высокотехнологичными компаниями в общем виде в данный момент понимается форма организации бизнеса с целью объединения ресурсов для разработки, производства и коммерциализации многофункциональной, наукоемкой, содержащей ноу-хау продукции, отличающ</w:t>
      </w:r>
      <w:r w:rsidR="00ED5FEE">
        <w:rPr>
          <w:rFonts w:ascii="Times New Roman" w:hAnsi="Times New Roman" w:cs="Times New Roman"/>
          <w:sz w:val="24"/>
          <w:szCs w:val="24"/>
        </w:rPr>
        <w:t>ая</w:t>
      </w:r>
      <w:r w:rsidRPr="009B2CF0">
        <w:rPr>
          <w:rFonts w:ascii="Times New Roman" w:hAnsi="Times New Roman" w:cs="Times New Roman"/>
          <w:sz w:val="24"/>
          <w:szCs w:val="24"/>
        </w:rPr>
        <w:t>ся оптимальным соотношением экономических выгод и рисков, создающих кумулятивный эффект инновационного развития</w:t>
      </w:r>
      <w:r w:rsidR="0073254F">
        <w:rPr>
          <w:rFonts w:ascii="Times New Roman" w:hAnsi="Times New Roman" w:cs="Times New Roman"/>
          <w:sz w:val="24"/>
          <w:szCs w:val="24"/>
        </w:rPr>
        <w:t xml:space="preserve"> [</w:t>
      </w:r>
      <w:r w:rsidR="002E1A54">
        <w:rPr>
          <w:rFonts w:ascii="Times New Roman" w:hAnsi="Times New Roman" w:cs="Times New Roman"/>
          <w:sz w:val="24"/>
          <w:szCs w:val="24"/>
        </w:rPr>
        <w:t>5</w:t>
      </w:r>
      <w:r w:rsidR="001F2EE8" w:rsidRPr="009B2CF0">
        <w:rPr>
          <w:rFonts w:ascii="Times New Roman" w:hAnsi="Times New Roman" w:cs="Times New Roman"/>
          <w:sz w:val="24"/>
          <w:szCs w:val="24"/>
        </w:rPr>
        <w:t>, С. 476]</w:t>
      </w:r>
      <w:r w:rsidR="002E1A54">
        <w:rPr>
          <w:rFonts w:ascii="Times New Roman" w:hAnsi="Times New Roman" w:cs="Times New Roman"/>
          <w:sz w:val="24"/>
          <w:szCs w:val="24"/>
        </w:rPr>
        <w:t>.</w:t>
      </w:r>
    </w:p>
    <w:p w:rsidR="00F44503" w:rsidRDefault="003E1407" w:rsidP="000B59D8">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lastRenderedPageBreak/>
        <w:t>Для более ясного представления специфики антикризисного менеджмента в анализируемой отрасли</w:t>
      </w:r>
      <w:r w:rsidR="00B944A7" w:rsidRPr="009B2CF0">
        <w:rPr>
          <w:rFonts w:ascii="Times New Roman" w:hAnsi="Times New Roman" w:cs="Times New Roman"/>
          <w:sz w:val="24"/>
          <w:szCs w:val="24"/>
        </w:rPr>
        <w:t xml:space="preserve"> необходимо понимать</w:t>
      </w:r>
      <w:r w:rsidR="001F2EE8" w:rsidRPr="009B2CF0">
        <w:rPr>
          <w:rFonts w:ascii="Times New Roman" w:hAnsi="Times New Roman" w:cs="Times New Roman"/>
          <w:sz w:val="24"/>
          <w:szCs w:val="24"/>
        </w:rPr>
        <w:t xml:space="preserve"> основные особенности высокотехнологичных компаний, которые влияют непосредственно на деятельность организации. </w:t>
      </w:r>
    </w:p>
    <w:p w:rsidR="001F2EE8" w:rsidRPr="009B2CF0" w:rsidRDefault="001F2EE8" w:rsidP="000B59D8">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Среди ключевых особенностей можно выделить:</w:t>
      </w:r>
    </w:p>
    <w:p w:rsidR="00F44503" w:rsidRDefault="00F44503" w:rsidP="000B59D8">
      <w:pPr>
        <w:pStyle w:val="a3"/>
        <w:numPr>
          <w:ilvl w:val="0"/>
          <w:numId w:val="2"/>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Наличие высокой доли нематериальных активов и интеллектуальной собственности в структуре активов компании;</w:t>
      </w:r>
    </w:p>
    <w:p w:rsidR="00F44503" w:rsidRDefault="00F44503" w:rsidP="000B59D8">
      <w:pPr>
        <w:pStyle w:val="a3"/>
        <w:numPr>
          <w:ilvl w:val="0"/>
          <w:numId w:val="2"/>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Пристальное внимание со стороны менеджмента к проблеме охраны информации и ноу-хау;</w:t>
      </w:r>
    </w:p>
    <w:p w:rsidR="00F44503" w:rsidRPr="00ED5FEE" w:rsidRDefault="00F44503" w:rsidP="0060385D">
      <w:pPr>
        <w:pStyle w:val="a3"/>
        <w:numPr>
          <w:ilvl w:val="0"/>
          <w:numId w:val="2"/>
        </w:numPr>
        <w:spacing w:after="0" w:line="360" w:lineRule="auto"/>
        <w:ind w:left="0" w:firstLine="567"/>
        <w:jc w:val="both"/>
        <w:rPr>
          <w:rFonts w:ascii="Times New Roman" w:hAnsi="Times New Roman" w:cs="Times New Roman"/>
          <w:sz w:val="24"/>
          <w:szCs w:val="24"/>
        </w:rPr>
      </w:pPr>
      <w:r w:rsidRPr="00ED5FEE">
        <w:rPr>
          <w:rFonts w:ascii="Times New Roman" w:hAnsi="Times New Roman" w:cs="Times New Roman"/>
          <w:sz w:val="24"/>
          <w:szCs w:val="24"/>
        </w:rPr>
        <w:t>Наличие высокой квалификации у сотрудников (интеллектуальный капитал) Прохождение компанией длительного затратного периода, предшествующего достижению ею точки самоокупаемости;</w:t>
      </w:r>
    </w:p>
    <w:p w:rsidR="001F2EE8" w:rsidRPr="00F44503" w:rsidRDefault="00F44503" w:rsidP="00CE68D0">
      <w:pPr>
        <w:pStyle w:val="a3"/>
        <w:numPr>
          <w:ilvl w:val="0"/>
          <w:numId w:val="2"/>
        </w:numPr>
        <w:spacing w:after="0" w:line="360" w:lineRule="auto"/>
        <w:ind w:left="0" w:firstLine="567"/>
        <w:jc w:val="both"/>
        <w:rPr>
          <w:rFonts w:ascii="Times New Roman" w:hAnsi="Times New Roman" w:cs="Times New Roman"/>
          <w:sz w:val="24"/>
          <w:szCs w:val="24"/>
        </w:rPr>
      </w:pPr>
      <w:r w:rsidRPr="00F44503">
        <w:rPr>
          <w:rFonts w:ascii="Times New Roman" w:hAnsi="Times New Roman" w:cs="Times New Roman"/>
          <w:sz w:val="24"/>
          <w:szCs w:val="24"/>
        </w:rPr>
        <w:t>Наличие специфических источников финансирования</w:t>
      </w:r>
      <w:r w:rsidR="001F2EE8" w:rsidRPr="00F44503">
        <w:rPr>
          <w:rFonts w:ascii="Times New Roman" w:hAnsi="Times New Roman" w:cs="Times New Roman"/>
          <w:sz w:val="24"/>
          <w:szCs w:val="24"/>
        </w:rPr>
        <w:t>[</w:t>
      </w:r>
      <w:r w:rsidR="00F64C6F">
        <w:rPr>
          <w:rFonts w:ascii="Times New Roman" w:hAnsi="Times New Roman" w:cs="Times New Roman"/>
          <w:sz w:val="24"/>
          <w:szCs w:val="24"/>
        </w:rPr>
        <w:t>6</w:t>
      </w:r>
      <w:r w:rsidR="001F2EE8" w:rsidRPr="00F44503">
        <w:rPr>
          <w:rFonts w:ascii="Times New Roman" w:hAnsi="Times New Roman" w:cs="Times New Roman"/>
          <w:sz w:val="24"/>
          <w:szCs w:val="24"/>
        </w:rPr>
        <w:t>, с 446]</w:t>
      </w:r>
      <w:r>
        <w:rPr>
          <w:rFonts w:ascii="Times New Roman" w:hAnsi="Times New Roman" w:cs="Times New Roman"/>
          <w:sz w:val="24"/>
          <w:szCs w:val="24"/>
        </w:rPr>
        <w:t>.</w:t>
      </w:r>
    </w:p>
    <w:p w:rsidR="00F44503" w:rsidRDefault="00B944A7" w:rsidP="00602B16">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С</w:t>
      </w:r>
      <w:r w:rsidR="00487FBF" w:rsidRPr="009B2CF0">
        <w:rPr>
          <w:rFonts w:ascii="Times New Roman" w:hAnsi="Times New Roman" w:cs="Times New Roman"/>
          <w:sz w:val="24"/>
          <w:szCs w:val="24"/>
        </w:rPr>
        <w:t>пецифика высокотехнологичных компаний базируется именно на инновационном характере деятельности и создании высокотехнологичной продукции, имеющей определенный производственный цикл, необходимость формирования патентов и много</w:t>
      </w:r>
      <w:r w:rsidR="00ED5FEE">
        <w:rPr>
          <w:rFonts w:ascii="Times New Roman" w:hAnsi="Times New Roman" w:cs="Times New Roman"/>
          <w:sz w:val="24"/>
          <w:szCs w:val="24"/>
        </w:rPr>
        <w:t>го</w:t>
      </w:r>
      <w:r w:rsidR="00487FBF" w:rsidRPr="009B2CF0">
        <w:rPr>
          <w:rFonts w:ascii="Times New Roman" w:hAnsi="Times New Roman" w:cs="Times New Roman"/>
          <w:sz w:val="24"/>
          <w:szCs w:val="24"/>
        </w:rPr>
        <w:t xml:space="preserve"> другого, влияющего в том числе и на структуру внеоборотных активов компании.</w:t>
      </w:r>
      <w:r w:rsidR="00602B16">
        <w:rPr>
          <w:rFonts w:ascii="Times New Roman" w:hAnsi="Times New Roman" w:cs="Times New Roman"/>
          <w:sz w:val="24"/>
          <w:szCs w:val="24"/>
        </w:rPr>
        <w:t xml:space="preserve"> </w:t>
      </w:r>
      <w:r w:rsidR="00F44503" w:rsidRPr="00F44503">
        <w:rPr>
          <w:rFonts w:ascii="Times New Roman" w:hAnsi="Times New Roman" w:cs="Times New Roman"/>
          <w:sz w:val="24"/>
          <w:szCs w:val="24"/>
        </w:rPr>
        <w:t xml:space="preserve">Таким образом, важнейшими критериями, определяющими качественные характеристики высокотехнологичных предприятий, являются современность используемых технологий и технологического оборудования, высокий уровень </w:t>
      </w:r>
      <w:r w:rsidR="00F44503">
        <w:rPr>
          <w:rFonts w:ascii="Times New Roman" w:hAnsi="Times New Roman" w:cs="Times New Roman"/>
          <w:sz w:val="24"/>
          <w:szCs w:val="24"/>
        </w:rPr>
        <w:t xml:space="preserve">развития </w:t>
      </w:r>
      <w:r w:rsidR="00F44503" w:rsidRPr="00F44503">
        <w:rPr>
          <w:rFonts w:ascii="Times New Roman" w:hAnsi="Times New Roman" w:cs="Times New Roman"/>
          <w:sz w:val="24"/>
          <w:szCs w:val="24"/>
        </w:rPr>
        <w:t>производственной культуры, использование большого количества инноваций при осуществлении своей деятельности, высокая добавленная стоимость выпускаемой продукции и ориентация стратегии</w:t>
      </w:r>
      <w:r w:rsidR="00F44503">
        <w:rPr>
          <w:rFonts w:ascii="Times New Roman" w:hAnsi="Times New Roman" w:cs="Times New Roman"/>
          <w:sz w:val="24"/>
          <w:szCs w:val="24"/>
        </w:rPr>
        <w:t xml:space="preserve"> компании</w:t>
      </w:r>
      <w:r w:rsidR="00F44503" w:rsidRPr="00F44503">
        <w:rPr>
          <w:rFonts w:ascii="Times New Roman" w:hAnsi="Times New Roman" w:cs="Times New Roman"/>
          <w:sz w:val="24"/>
          <w:szCs w:val="24"/>
        </w:rPr>
        <w:t xml:space="preserve"> развития на инновационные формы развития.</w:t>
      </w:r>
    </w:p>
    <w:p w:rsidR="00487FBF" w:rsidRPr="009B2CF0" w:rsidRDefault="009B2CF0" w:rsidP="000B59D8">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b/>
          <w:sz w:val="24"/>
          <w:szCs w:val="24"/>
        </w:rPr>
        <w:t>Результаты исследования и их обсуждение</w:t>
      </w:r>
      <w:r w:rsidR="00487FBF" w:rsidRPr="009B2CF0">
        <w:rPr>
          <w:rFonts w:ascii="Times New Roman" w:hAnsi="Times New Roman" w:cs="Times New Roman"/>
          <w:b/>
          <w:sz w:val="24"/>
          <w:szCs w:val="24"/>
        </w:rPr>
        <w:t>.</w:t>
      </w:r>
      <w:r w:rsidR="00B944A7" w:rsidRPr="009B2CF0">
        <w:rPr>
          <w:rFonts w:ascii="Times New Roman" w:hAnsi="Times New Roman" w:cs="Times New Roman"/>
          <w:b/>
          <w:sz w:val="24"/>
          <w:szCs w:val="24"/>
        </w:rPr>
        <w:t xml:space="preserve"> </w:t>
      </w:r>
      <w:r w:rsidR="00487FBF" w:rsidRPr="009B2CF0">
        <w:rPr>
          <w:rFonts w:ascii="Times New Roman" w:hAnsi="Times New Roman" w:cs="Times New Roman"/>
          <w:sz w:val="24"/>
          <w:szCs w:val="24"/>
        </w:rPr>
        <w:t>Существует несколько подходов к определению антикризисного управления, его сущности и содержанию.</w:t>
      </w:r>
    </w:p>
    <w:p w:rsidR="00487FBF" w:rsidRPr="009B2CF0" w:rsidRDefault="00487FBF" w:rsidP="003C48A7">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Антикризисное управление</w:t>
      </w:r>
      <w:r w:rsidR="00ED5FEE">
        <w:rPr>
          <w:rFonts w:ascii="Times New Roman" w:hAnsi="Times New Roman" w:cs="Times New Roman"/>
          <w:sz w:val="24"/>
          <w:szCs w:val="24"/>
        </w:rPr>
        <w:t xml:space="preserve"> –</w:t>
      </w:r>
      <w:r w:rsidRPr="009B2CF0">
        <w:rPr>
          <w:rFonts w:ascii="Times New Roman" w:hAnsi="Times New Roman" w:cs="Times New Roman"/>
          <w:sz w:val="24"/>
          <w:szCs w:val="24"/>
        </w:rPr>
        <w:t xml:space="preserve"> это многофакторное понятие</w:t>
      </w:r>
      <w:r w:rsidR="00ED5FEE">
        <w:rPr>
          <w:rFonts w:ascii="Times New Roman" w:hAnsi="Times New Roman" w:cs="Times New Roman"/>
          <w:sz w:val="24"/>
          <w:szCs w:val="24"/>
        </w:rPr>
        <w:t>,</w:t>
      </w:r>
      <w:r w:rsidRPr="009B2CF0">
        <w:rPr>
          <w:rFonts w:ascii="Times New Roman" w:hAnsi="Times New Roman" w:cs="Times New Roman"/>
          <w:sz w:val="24"/>
          <w:szCs w:val="24"/>
        </w:rPr>
        <w:t xml:space="preserve"> и для анализа этой категории стоит рассмотреть такие аспекты, как: сущность антикризисного управления, его содержание и </w:t>
      </w:r>
      <w:r w:rsidR="00F64C6F">
        <w:rPr>
          <w:rFonts w:ascii="Times New Roman" w:hAnsi="Times New Roman" w:cs="Times New Roman"/>
          <w:sz w:val="24"/>
          <w:szCs w:val="24"/>
        </w:rPr>
        <w:t>особенности реализации</w:t>
      </w:r>
      <w:r w:rsidRPr="009B2CF0">
        <w:rPr>
          <w:rFonts w:ascii="Times New Roman" w:hAnsi="Times New Roman" w:cs="Times New Roman"/>
          <w:sz w:val="24"/>
          <w:szCs w:val="24"/>
        </w:rPr>
        <w:t xml:space="preserve">. </w:t>
      </w:r>
    </w:p>
    <w:p w:rsidR="00487FBF" w:rsidRPr="009B2CF0" w:rsidRDefault="00F64C6F" w:rsidP="000B59D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w:t>
      </w:r>
      <w:r w:rsidR="00487FBF" w:rsidRPr="009B2CF0">
        <w:rPr>
          <w:rFonts w:ascii="Times New Roman" w:hAnsi="Times New Roman" w:cs="Times New Roman"/>
          <w:sz w:val="24"/>
          <w:szCs w:val="24"/>
        </w:rPr>
        <w:t xml:space="preserve">антикризисного управления </w:t>
      </w:r>
      <w:r>
        <w:rPr>
          <w:rFonts w:ascii="Times New Roman" w:hAnsi="Times New Roman" w:cs="Times New Roman"/>
          <w:sz w:val="24"/>
          <w:szCs w:val="24"/>
        </w:rPr>
        <w:t>осуществляется</w:t>
      </w:r>
      <w:r w:rsidR="00487FBF" w:rsidRPr="009B2CF0">
        <w:rPr>
          <w:rFonts w:ascii="Times New Roman" w:hAnsi="Times New Roman" w:cs="Times New Roman"/>
          <w:sz w:val="24"/>
          <w:szCs w:val="24"/>
        </w:rPr>
        <w:t xml:space="preserve"> в предпринимательской, </w:t>
      </w:r>
      <w:r w:rsidRPr="009B2CF0">
        <w:rPr>
          <w:rFonts w:ascii="Times New Roman" w:hAnsi="Times New Roman" w:cs="Times New Roman"/>
          <w:sz w:val="24"/>
          <w:szCs w:val="24"/>
        </w:rPr>
        <w:t>аналитической,</w:t>
      </w:r>
      <w:r>
        <w:rPr>
          <w:rFonts w:ascii="Times New Roman" w:hAnsi="Times New Roman" w:cs="Times New Roman"/>
          <w:sz w:val="24"/>
          <w:szCs w:val="24"/>
        </w:rPr>
        <w:t xml:space="preserve"> </w:t>
      </w:r>
      <w:r w:rsidR="00487FBF" w:rsidRPr="009B2CF0">
        <w:rPr>
          <w:rFonts w:ascii="Times New Roman" w:hAnsi="Times New Roman" w:cs="Times New Roman"/>
          <w:sz w:val="24"/>
          <w:szCs w:val="24"/>
        </w:rPr>
        <w:t>организационно-управленческой, нормативно-методической, консультационной, образовательной, научно-исследовательской</w:t>
      </w:r>
      <w:r>
        <w:rPr>
          <w:rFonts w:ascii="Times New Roman" w:hAnsi="Times New Roman" w:cs="Times New Roman"/>
          <w:sz w:val="24"/>
          <w:szCs w:val="24"/>
        </w:rPr>
        <w:t xml:space="preserve"> и других видах деятельности [7</w:t>
      </w:r>
      <w:r w:rsidR="00487FBF" w:rsidRPr="009B2CF0">
        <w:rPr>
          <w:rFonts w:ascii="Times New Roman" w:hAnsi="Times New Roman" w:cs="Times New Roman"/>
          <w:sz w:val="24"/>
          <w:szCs w:val="24"/>
        </w:rPr>
        <w:t>, с. 48].</w:t>
      </w:r>
    </w:p>
    <w:p w:rsidR="00487FBF" w:rsidRPr="009B2CF0" w:rsidRDefault="00487FBF" w:rsidP="00842C07">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 xml:space="preserve">Важным содержанием антикризисного управления является использование различных инструментов и механизмов для выявления и предупреждения кризиса. Среди инструментов антикризисного управления можно выделить инструменты по </w:t>
      </w:r>
      <w:r w:rsidR="0073254F">
        <w:rPr>
          <w:rFonts w:ascii="Times New Roman" w:hAnsi="Times New Roman" w:cs="Times New Roman"/>
          <w:sz w:val="24"/>
          <w:szCs w:val="24"/>
        </w:rPr>
        <w:t>выявлению кризиса, такие, как [</w:t>
      </w:r>
      <w:r w:rsidR="00F64C6F">
        <w:rPr>
          <w:rFonts w:ascii="Times New Roman" w:hAnsi="Times New Roman" w:cs="Times New Roman"/>
          <w:sz w:val="24"/>
          <w:szCs w:val="24"/>
        </w:rPr>
        <w:t>8</w:t>
      </w:r>
      <w:r w:rsidRPr="009B2CF0">
        <w:rPr>
          <w:rFonts w:ascii="Times New Roman" w:hAnsi="Times New Roman" w:cs="Times New Roman"/>
          <w:sz w:val="24"/>
          <w:szCs w:val="24"/>
        </w:rPr>
        <w:t xml:space="preserve">, </w:t>
      </w:r>
      <w:r w:rsidRPr="009B2CF0">
        <w:rPr>
          <w:rFonts w:ascii="Times New Roman" w:hAnsi="Times New Roman" w:cs="Times New Roman"/>
          <w:sz w:val="24"/>
          <w:szCs w:val="24"/>
        </w:rPr>
        <w:lastRenderedPageBreak/>
        <w:t>с. 87]:</w:t>
      </w:r>
      <w:r w:rsidR="00842C07" w:rsidRPr="009B2CF0">
        <w:rPr>
          <w:rFonts w:ascii="Times New Roman" w:hAnsi="Times New Roman" w:cs="Times New Roman"/>
          <w:sz w:val="24"/>
          <w:szCs w:val="24"/>
        </w:rPr>
        <w:t xml:space="preserve"> </w:t>
      </w:r>
      <w:r w:rsidR="00ED5FEE">
        <w:rPr>
          <w:rFonts w:ascii="Times New Roman" w:hAnsi="Times New Roman" w:cs="Times New Roman"/>
          <w:sz w:val="24"/>
          <w:szCs w:val="24"/>
        </w:rPr>
        <w:t>м</w:t>
      </w:r>
      <w:r w:rsidRPr="009B2CF0">
        <w:rPr>
          <w:rFonts w:ascii="Times New Roman" w:hAnsi="Times New Roman" w:cs="Times New Roman"/>
          <w:sz w:val="24"/>
          <w:szCs w:val="24"/>
        </w:rPr>
        <w:t>онитор</w:t>
      </w:r>
      <w:r w:rsidR="00842C07" w:rsidRPr="009B2CF0">
        <w:rPr>
          <w:rFonts w:ascii="Times New Roman" w:hAnsi="Times New Roman" w:cs="Times New Roman"/>
          <w:sz w:val="24"/>
          <w:szCs w:val="24"/>
        </w:rPr>
        <w:t>инг (антикризисный мониторинг), экспресс-анализ</w:t>
      </w:r>
      <w:r w:rsidR="00ED5FEE">
        <w:rPr>
          <w:rFonts w:ascii="Times New Roman" w:hAnsi="Times New Roman" w:cs="Times New Roman"/>
          <w:sz w:val="24"/>
          <w:szCs w:val="24"/>
        </w:rPr>
        <w:t>,</w:t>
      </w:r>
      <w:r w:rsidR="00842C07" w:rsidRPr="009B2CF0">
        <w:rPr>
          <w:rFonts w:ascii="Times New Roman" w:hAnsi="Times New Roman" w:cs="Times New Roman"/>
          <w:sz w:val="24"/>
          <w:szCs w:val="24"/>
        </w:rPr>
        <w:t xml:space="preserve"> ф</w:t>
      </w:r>
      <w:r w:rsidRPr="009B2CF0">
        <w:rPr>
          <w:rFonts w:ascii="Times New Roman" w:hAnsi="Times New Roman" w:cs="Times New Roman"/>
          <w:sz w:val="24"/>
          <w:szCs w:val="24"/>
        </w:rPr>
        <w:t>инансово-экономический анализ (ко</w:t>
      </w:r>
      <w:r w:rsidR="00842C07" w:rsidRPr="009B2CF0">
        <w:rPr>
          <w:rFonts w:ascii="Times New Roman" w:hAnsi="Times New Roman" w:cs="Times New Roman"/>
          <w:sz w:val="24"/>
          <w:szCs w:val="24"/>
        </w:rPr>
        <w:t>мплексная бизнес-диагностика), д</w:t>
      </w:r>
      <w:r w:rsidRPr="009B2CF0">
        <w:rPr>
          <w:rFonts w:ascii="Times New Roman" w:hAnsi="Times New Roman" w:cs="Times New Roman"/>
          <w:sz w:val="24"/>
          <w:szCs w:val="24"/>
        </w:rPr>
        <w:t>иагностика вероятности кризиса.</w:t>
      </w:r>
    </w:p>
    <w:p w:rsidR="00B944A7" w:rsidRPr="009B2CF0" w:rsidRDefault="00487FBF" w:rsidP="000B59D8">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Наиболее оптима</w:t>
      </w:r>
      <w:r w:rsidR="00FE2593" w:rsidRPr="009B2CF0">
        <w:rPr>
          <w:rFonts w:ascii="Times New Roman" w:hAnsi="Times New Roman" w:cs="Times New Roman"/>
          <w:sz w:val="24"/>
          <w:szCs w:val="24"/>
        </w:rPr>
        <w:t>льным</w:t>
      </w:r>
      <w:r w:rsidR="004209F1" w:rsidRPr="009B2CF0">
        <w:rPr>
          <w:rFonts w:ascii="Times New Roman" w:hAnsi="Times New Roman" w:cs="Times New Roman"/>
          <w:sz w:val="24"/>
          <w:szCs w:val="24"/>
        </w:rPr>
        <w:t xml:space="preserve"> и простым</w:t>
      </w:r>
      <w:r w:rsidR="009B2CF0">
        <w:rPr>
          <w:rFonts w:ascii="Times New Roman" w:hAnsi="Times New Roman" w:cs="Times New Roman"/>
          <w:sz w:val="24"/>
          <w:szCs w:val="24"/>
        </w:rPr>
        <w:t xml:space="preserve"> способом диагностики в</w:t>
      </w:r>
      <w:r w:rsidR="00FE2593" w:rsidRPr="009B2CF0">
        <w:rPr>
          <w:rFonts w:ascii="Times New Roman" w:hAnsi="Times New Roman" w:cs="Times New Roman"/>
          <w:sz w:val="24"/>
          <w:szCs w:val="24"/>
        </w:rPr>
        <w:t>ероятности</w:t>
      </w:r>
      <w:r w:rsidRPr="009B2CF0">
        <w:rPr>
          <w:rFonts w:ascii="Times New Roman" w:hAnsi="Times New Roman" w:cs="Times New Roman"/>
          <w:sz w:val="24"/>
          <w:szCs w:val="24"/>
        </w:rPr>
        <w:t xml:space="preserve"> банкротства высокотехнологичной компании является на данный момент </w:t>
      </w:r>
      <w:r w:rsidR="00FE2593" w:rsidRPr="009B2CF0">
        <w:rPr>
          <w:rFonts w:ascii="Times New Roman" w:hAnsi="Times New Roman" w:cs="Times New Roman"/>
          <w:sz w:val="24"/>
          <w:szCs w:val="24"/>
        </w:rPr>
        <w:t>модель оценки риска банкротств</w:t>
      </w:r>
      <w:r w:rsidR="004209F1" w:rsidRPr="009B2CF0">
        <w:rPr>
          <w:rFonts w:ascii="Times New Roman" w:hAnsi="Times New Roman" w:cs="Times New Roman"/>
          <w:sz w:val="24"/>
          <w:szCs w:val="24"/>
        </w:rPr>
        <w:t xml:space="preserve"> при помощи балльно-рейтинговой методики</w:t>
      </w:r>
      <w:r w:rsidR="00FE2593" w:rsidRPr="009B2CF0">
        <w:rPr>
          <w:rFonts w:ascii="Times New Roman" w:hAnsi="Times New Roman" w:cs="Times New Roman"/>
          <w:sz w:val="24"/>
          <w:szCs w:val="24"/>
        </w:rPr>
        <w:t xml:space="preserve">. Их существует достаточно большое количество, однако </w:t>
      </w:r>
      <w:r w:rsidR="00DB64A1" w:rsidRPr="009B2CF0">
        <w:rPr>
          <w:rFonts w:ascii="Times New Roman" w:hAnsi="Times New Roman" w:cs="Times New Roman"/>
          <w:sz w:val="24"/>
          <w:szCs w:val="24"/>
        </w:rPr>
        <w:t xml:space="preserve">наиболее приемлемая </w:t>
      </w:r>
      <w:r w:rsidR="00FE2593" w:rsidRPr="009B2CF0">
        <w:rPr>
          <w:rFonts w:ascii="Times New Roman" w:hAnsi="Times New Roman" w:cs="Times New Roman"/>
          <w:sz w:val="24"/>
          <w:szCs w:val="24"/>
        </w:rPr>
        <w:t>модель Салова</w:t>
      </w:r>
      <w:r w:rsidR="00ED5FEE">
        <w:rPr>
          <w:rFonts w:ascii="Times New Roman" w:hAnsi="Times New Roman" w:cs="Times New Roman"/>
          <w:sz w:val="24"/>
          <w:szCs w:val="24"/>
        </w:rPr>
        <w:t xml:space="preserve"> –</w:t>
      </w:r>
      <w:r w:rsidR="00FE2593" w:rsidRPr="009B2CF0">
        <w:rPr>
          <w:rFonts w:ascii="Times New Roman" w:hAnsi="Times New Roman" w:cs="Times New Roman"/>
          <w:sz w:val="24"/>
          <w:szCs w:val="24"/>
        </w:rPr>
        <w:t xml:space="preserve"> Маслова</w:t>
      </w:r>
      <w:r w:rsidR="009B2CF0">
        <w:rPr>
          <w:rFonts w:ascii="Times New Roman" w:hAnsi="Times New Roman" w:cs="Times New Roman"/>
          <w:sz w:val="24"/>
          <w:szCs w:val="24"/>
        </w:rPr>
        <w:t xml:space="preserve">, более подробно </w:t>
      </w:r>
      <w:r w:rsidR="00F64C6F">
        <w:rPr>
          <w:rFonts w:ascii="Times New Roman" w:hAnsi="Times New Roman" w:cs="Times New Roman"/>
          <w:sz w:val="24"/>
          <w:szCs w:val="24"/>
        </w:rPr>
        <w:t>представленная</w:t>
      </w:r>
      <w:r w:rsidR="009B2CF0">
        <w:rPr>
          <w:rFonts w:ascii="Times New Roman" w:hAnsi="Times New Roman" w:cs="Times New Roman"/>
          <w:sz w:val="24"/>
          <w:szCs w:val="24"/>
        </w:rPr>
        <w:t xml:space="preserve"> в табл</w:t>
      </w:r>
      <w:r w:rsidR="00ED5FEE">
        <w:rPr>
          <w:rFonts w:ascii="Times New Roman" w:hAnsi="Times New Roman" w:cs="Times New Roman"/>
          <w:sz w:val="24"/>
          <w:szCs w:val="24"/>
        </w:rPr>
        <w:t>.</w:t>
      </w:r>
      <w:r w:rsidR="009B2CF0">
        <w:rPr>
          <w:rFonts w:ascii="Times New Roman" w:hAnsi="Times New Roman" w:cs="Times New Roman"/>
          <w:sz w:val="24"/>
          <w:szCs w:val="24"/>
        </w:rPr>
        <w:t> 1.</w:t>
      </w:r>
    </w:p>
    <w:p w:rsidR="009B2CF0" w:rsidRDefault="009B2CF0" w:rsidP="009B2CF0">
      <w:pPr>
        <w:spacing w:after="0" w:line="360" w:lineRule="auto"/>
        <w:ind w:firstLine="567"/>
        <w:jc w:val="center"/>
        <w:rPr>
          <w:rFonts w:ascii="Times New Roman" w:hAnsi="Times New Roman" w:cs="Times New Roman"/>
          <w:sz w:val="24"/>
          <w:szCs w:val="24"/>
        </w:rPr>
      </w:pPr>
      <w:r w:rsidRPr="001D6EDF">
        <w:rPr>
          <w:rFonts w:ascii="Times New Roman" w:hAnsi="Times New Roman" w:cs="Times New Roman"/>
          <w:sz w:val="24"/>
          <w:szCs w:val="24"/>
        </w:rPr>
        <w:t>Таблица 1. Модель Салова</w:t>
      </w:r>
      <w:r w:rsidR="00ED5FEE">
        <w:rPr>
          <w:rFonts w:ascii="Times New Roman" w:hAnsi="Times New Roman" w:cs="Times New Roman"/>
          <w:sz w:val="24"/>
          <w:szCs w:val="24"/>
        </w:rPr>
        <w:t xml:space="preserve"> – </w:t>
      </w:r>
      <w:r w:rsidRPr="001D6EDF">
        <w:rPr>
          <w:rFonts w:ascii="Times New Roman" w:hAnsi="Times New Roman" w:cs="Times New Roman"/>
          <w:sz w:val="24"/>
          <w:szCs w:val="24"/>
        </w:rPr>
        <w:t>Маслова.</w:t>
      </w:r>
    </w:p>
    <w:tbl>
      <w:tblPr>
        <w:tblStyle w:val="ab"/>
        <w:tblW w:w="9554" w:type="dxa"/>
        <w:tblLook w:val="04A0" w:firstRow="1" w:lastRow="0" w:firstColumn="1" w:lastColumn="0" w:noHBand="0" w:noVBand="1"/>
      </w:tblPr>
      <w:tblGrid>
        <w:gridCol w:w="1992"/>
        <w:gridCol w:w="1472"/>
        <w:gridCol w:w="1982"/>
        <w:gridCol w:w="1732"/>
        <w:gridCol w:w="2376"/>
      </w:tblGrid>
      <w:tr w:rsidR="009B2CF0" w:rsidRPr="001D6EDF" w:rsidTr="00F64C6F">
        <w:trPr>
          <w:trHeight w:val="385"/>
        </w:trPr>
        <w:tc>
          <w:tcPr>
            <w:tcW w:w="1992" w:type="dxa"/>
            <w:vMerge w:val="restart"/>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Факторы</w:t>
            </w:r>
          </w:p>
        </w:tc>
        <w:tc>
          <w:tcPr>
            <w:tcW w:w="7562" w:type="dxa"/>
            <w:gridSpan w:val="4"/>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Зоны / Баллы по зонам</w:t>
            </w:r>
          </w:p>
        </w:tc>
      </w:tr>
      <w:tr w:rsidR="009B2CF0" w:rsidRPr="001D6EDF" w:rsidTr="00F64C6F">
        <w:trPr>
          <w:trHeight w:val="385"/>
        </w:trPr>
        <w:tc>
          <w:tcPr>
            <w:tcW w:w="1992" w:type="dxa"/>
            <w:vMerge/>
            <w:hideMark/>
          </w:tcPr>
          <w:p w:rsidR="009B2CF0" w:rsidRPr="001D6EDF" w:rsidRDefault="009B2CF0" w:rsidP="00D3604E">
            <w:pPr>
              <w:ind w:firstLine="567"/>
              <w:rPr>
                <w:rFonts w:ascii="Times New Roman" w:hAnsi="Times New Roman" w:cs="Times New Roman"/>
                <w:sz w:val="24"/>
                <w:szCs w:val="24"/>
              </w:rPr>
            </w:pPr>
          </w:p>
        </w:tc>
        <w:tc>
          <w:tcPr>
            <w:tcW w:w="1362" w:type="dxa"/>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риска</w:t>
            </w:r>
          </w:p>
        </w:tc>
        <w:tc>
          <w:tcPr>
            <w:tcW w:w="1833" w:type="dxa"/>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опасности</w:t>
            </w:r>
          </w:p>
        </w:tc>
        <w:tc>
          <w:tcPr>
            <w:tcW w:w="0" w:type="auto"/>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стабильности</w:t>
            </w:r>
          </w:p>
        </w:tc>
        <w:tc>
          <w:tcPr>
            <w:tcW w:w="2198" w:type="dxa"/>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благополучия</w:t>
            </w:r>
          </w:p>
        </w:tc>
      </w:tr>
      <w:tr w:rsidR="009B2CF0" w:rsidRPr="001D6EDF" w:rsidTr="00F64C6F">
        <w:trPr>
          <w:trHeight w:val="385"/>
        </w:trPr>
        <w:tc>
          <w:tcPr>
            <w:tcW w:w="1992" w:type="dxa"/>
            <w:vMerge/>
            <w:hideMark/>
          </w:tcPr>
          <w:p w:rsidR="009B2CF0" w:rsidRPr="001D6EDF" w:rsidRDefault="009B2CF0" w:rsidP="00D3604E">
            <w:pPr>
              <w:ind w:firstLine="567"/>
              <w:rPr>
                <w:rFonts w:ascii="Times New Roman" w:hAnsi="Times New Roman" w:cs="Times New Roman"/>
                <w:sz w:val="24"/>
                <w:szCs w:val="24"/>
              </w:rPr>
            </w:pPr>
          </w:p>
        </w:tc>
        <w:tc>
          <w:tcPr>
            <w:tcW w:w="1362" w:type="dxa"/>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0 баллов</w:t>
            </w:r>
          </w:p>
        </w:tc>
        <w:tc>
          <w:tcPr>
            <w:tcW w:w="1833" w:type="dxa"/>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1 балл</w:t>
            </w:r>
          </w:p>
        </w:tc>
        <w:tc>
          <w:tcPr>
            <w:tcW w:w="0" w:type="auto"/>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3 балла</w:t>
            </w:r>
          </w:p>
        </w:tc>
        <w:tc>
          <w:tcPr>
            <w:tcW w:w="2198" w:type="dxa"/>
            <w:hideMark/>
          </w:tcPr>
          <w:p w:rsidR="009B2CF0" w:rsidRPr="001D6EDF" w:rsidRDefault="009B2CF0" w:rsidP="00D3604E">
            <w:pPr>
              <w:ind w:firstLine="567"/>
              <w:rPr>
                <w:rFonts w:ascii="Times New Roman" w:hAnsi="Times New Roman" w:cs="Times New Roman"/>
                <w:sz w:val="24"/>
                <w:szCs w:val="24"/>
              </w:rPr>
            </w:pPr>
            <w:r w:rsidRPr="001D6EDF">
              <w:rPr>
                <w:rFonts w:ascii="Times New Roman" w:hAnsi="Times New Roman" w:cs="Times New Roman"/>
                <w:sz w:val="24"/>
                <w:szCs w:val="24"/>
              </w:rPr>
              <w:t>5 баллов</w:t>
            </w:r>
          </w:p>
        </w:tc>
      </w:tr>
      <w:tr w:rsidR="009B2CF0" w:rsidRPr="001D6EDF" w:rsidTr="00F64C6F">
        <w:trPr>
          <w:trHeight w:val="231"/>
        </w:trPr>
        <w:tc>
          <w:tcPr>
            <w:tcW w:w="9554" w:type="dxa"/>
            <w:gridSpan w:val="5"/>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I. Показатели оценки структуры баланса</w:t>
            </w:r>
          </w:p>
        </w:tc>
      </w:tr>
      <w:tr w:rsidR="009B2CF0" w:rsidRPr="001D6EDF" w:rsidTr="00F64C6F">
        <w:trPr>
          <w:trHeight w:val="495"/>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текущей ликвидности</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 1,2</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1,2</w:t>
            </w:r>
            <w:r w:rsidR="00ED5FEE">
              <w:rPr>
                <w:rFonts w:ascii="Times New Roman" w:hAnsi="Times New Roman" w:cs="Times New Roman"/>
                <w:sz w:val="24"/>
                <w:szCs w:val="24"/>
              </w:rPr>
              <w:t>–</w:t>
            </w:r>
            <w:r w:rsidRPr="001D6EDF">
              <w:rPr>
                <w:rFonts w:ascii="Times New Roman" w:hAnsi="Times New Roman" w:cs="Times New Roman"/>
                <w:sz w:val="24"/>
                <w:szCs w:val="24"/>
              </w:rPr>
              <w:t>1,5</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1,5</w:t>
            </w:r>
            <w:r w:rsidR="00ED5FEE">
              <w:rPr>
                <w:rFonts w:ascii="Times New Roman" w:hAnsi="Times New Roman" w:cs="Times New Roman"/>
                <w:sz w:val="24"/>
                <w:szCs w:val="24"/>
              </w:rPr>
              <w:t>–</w:t>
            </w:r>
            <w:r w:rsidRPr="001D6EDF">
              <w:rPr>
                <w:rFonts w:ascii="Times New Roman" w:hAnsi="Times New Roman" w:cs="Times New Roman"/>
                <w:sz w:val="24"/>
                <w:szCs w:val="24"/>
              </w:rPr>
              <w:t>1,8</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 1,8</w:t>
            </w:r>
          </w:p>
        </w:tc>
      </w:tr>
      <w:tr w:rsidR="009B2CF0" w:rsidRPr="001D6EDF" w:rsidTr="00F64C6F">
        <w:trPr>
          <w:trHeight w:val="727"/>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обеспеченности собственными средствами</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&lt;0,05</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0.05</w:t>
            </w:r>
            <w:r w:rsidR="00ED5FEE">
              <w:rPr>
                <w:rFonts w:ascii="Times New Roman" w:hAnsi="Times New Roman" w:cs="Times New Roman"/>
                <w:sz w:val="24"/>
                <w:szCs w:val="24"/>
              </w:rPr>
              <w:t>–</w:t>
            </w:r>
            <w:r w:rsidRPr="001D6EDF">
              <w:rPr>
                <w:rFonts w:ascii="Times New Roman" w:hAnsi="Times New Roman" w:cs="Times New Roman"/>
                <w:sz w:val="24"/>
                <w:szCs w:val="24"/>
              </w:rPr>
              <w:t>0,1</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0.1</w:t>
            </w:r>
            <w:r w:rsidR="00ED5FEE">
              <w:rPr>
                <w:rFonts w:ascii="Times New Roman" w:hAnsi="Times New Roman" w:cs="Times New Roman"/>
                <w:sz w:val="24"/>
                <w:szCs w:val="24"/>
              </w:rPr>
              <w:t>–</w:t>
            </w:r>
            <w:r w:rsidRPr="001D6EDF">
              <w:rPr>
                <w:rFonts w:ascii="Times New Roman" w:hAnsi="Times New Roman" w:cs="Times New Roman"/>
                <w:sz w:val="24"/>
                <w:szCs w:val="24"/>
              </w:rPr>
              <w:t>0,15</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&gt;0,15</w:t>
            </w:r>
          </w:p>
        </w:tc>
      </w:tr>
      <w:tr w:rsidR="009B2CF0" w:rsidRPr="001D6EDF" w:rsidTr="00F64C6F">
        <w:trPr>
          <w:trHeight w:val="495"/>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Соотношение чистых активов и уставного капитала</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 1,0</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1,0</w:t>
            </w:r>
            <w:r w:rsidR="00ED5FEE">
              <w:rPr>
                <w:rFonts w:ascii="Times New Roman" w:hAnsi="Times New Roman" w:cs="Times New Roman"/>
                <w:sz w:val="24"/>
                <w:szCs w:val="24"/>
              </w:rPr>
              <w:t>–</w:t>
            </w:r>
            <w:r w:rsidRPr="001D6EDF">
              <w:rPr>
                <w:rFonts w:ascii="Times New Roman" w:hAnsi="Times New Roman" w:cs="Times New Roman"/>
                <w:sz w:val="24"/>
                <w:szCs w:val="24"/>
              </w:rPr>
              <w:t>1,5</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1,5</w:t>
            </w:r>
            <w:r w:rsidR="00ED5FEE">
              <w:rPr>
                <w:rFonts w:ascii="Times New Roman" w:hAnsi="Times New Roman" w:cs="Times New Roman"/>
                <w:sz w:val="24"/>
                <w:szCs w:val="24"/>
              </w:rPr>
              <w:t>–</w:t>
            </w:r>
            <w:r w:rsidRPr="001D6EDF">
              <w:rPr>
                <w:rFonts w:ascii="Times New Roman" w:hAnsi="Times New Roman" w:cs="Times New Roman"/>
                <w:sz w:val="24"/>
                <w:szCs w:val="24"/>
              </w:rPr>
              <w:t>2,0</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&gt;2,0</w:t>
            </w:r>
          </w:p>
        </w:tc>
      </w:tr>
      <w:tr w:rsidR="009B2CF0" w:rsidRPr="001D6EDF" w:rsidTr="00F64C6F">
        <w:trPr>
          <w:trHeight w:val="242"/>
        </w:trPr>
        <w:tc>
          <w:tcPr>
            <w:tcW w:w="9554" w:type="dxa"/>
            <w:gridSpan w:val="5"/>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II. Показатели рентабельности</w:t>
            </w:r>
          </w:p>
        </w:tc>
      </w:tr>
      <w:tr w:rsidR="009B2CF0" w:rsidRPr="001D6EDF" w:rsidTr="00F64C6F">
        <w:trPr>
          <w:trHeight w:val="738"/>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рентабельности всего капитала</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&lt;0,05</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0,05</w:t>
            </w:r>
            <w:r w:rsidR="00ED5FEE">
              <w:rPr>
                <w:rFonts w:ascii="Times New Roman" w:hAnsi="Times New Roman" w:cs="Times New Roman"/>
                <w:sz w:val="24"/>
                <w:szCs w:val="24"/>
              </w:rPr>
              <w:t>–</w:t>
            </w:r>
            <w:r w:rsidRPr="001D6EDF">
              <w:rPr>
                <w:rFonts w:ascii="Times New Roman" w:hAnsi="Times New Roman" w:cs="Times New Roman"/>
                <w:sz w:val="24"/>
                <w:szCs w:val="24"/>
              </w:rPr>
              <w:t>0,1</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0,1</w:t>
            </w:r>
            <w:r w:rsidR="00ED5FEE">
              <w:rPr>
                <w:rFonts w:ascii="Times New Roman" w:hAnsi="Times New Roman" w:cs="Times New Roman"/>
                <w:sz w:val="24"/>
                <w:szCs w:val="24"/>
              </w:rPr>
              <w:t>–</w:t>
            </w:r>
            <w:r w:rsidRPr="001D6EDF">
              <w:rPr>
                <w:rFonts w:ascii="Times New Roman" w:hAnsi="Times New Roman" w:cs="Times New Roman"/>
                <w:sz w:val="24"/>
                <w:szCs w:val="24"/>
              </w:rPr>
              <w:t>0,15</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&gt;0,15</w:t>
            </w:r>
          </w:p>
        </w:tc>
      </w:tr>
      <w:tr w:rsidR="009B2CF0" w:rsidRPr="001D6EDF" w:rsidTr="00F64C6F">
        <w:trPr>
          <w:trHeight w:val="727"/>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использования собственных средств</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&lt;0,07</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0,07</w:t>
            </w:r>
            <w:r w:rsidR="00ED5FEE">
              <w:rPr>
                <w:rFonts w:ascii="Times New Roman" w:hAnsi="Times New Roman" w:cs="Times New Roman"/>
                <w:sz w:val="24"/>
                <w:szCs w:val="24"/>
              </w:rPr>
              <w:t>–</w:t>
            </w:r>
            <w:r w:rsidRPr="001D6EDF">
              <w:rPr>
                <w:rFonts w:ascii="Times New Roman" w:hAnsi="Times New Roman" w:cs="Times New Roman"/>
                <w:sz w:val="24"/>
                <w:szCs w:val="24"/>
              </w:rPr>
              <w:t>0,15</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0,15</w:t>
            </w:r>
            <w:r w:rsidR="00ED5FEE">
              <w:rPr>
                <w:rFonts w:ascii="Times New Roman" w:hAnsi="Times New Roman" w:cs="Times New Roman"/>
                <w:sz w:val="24"/>
                <w:szCs w:val="24"/>
              </w:rPr>
              <w:t>–</w:t>
            </w:r>
            <w:r w:rsidRPr="001D6EDF">
              <w:rPr>
                <w:rFonts w:ascii="Times New Roman" w:hAnsi="Times New Roman" w:cs="Times New Roman"/>
                <w:sz w:val="24"/>
                <w:szCs w:val="24"/>
              </w:rPr>
              <w:t>0,2</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&gt;0,2</w:t>
            </w:r>
          </w:p>
        </w:tc>
      </w:tr>
      <w:tr w:rsidR="009B2CF0" w:rsidRPr="001D6EDF" w:rsidTr="00F64C6F">
        <w:trPr>
          <w:trHeight w:val="495"/>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рентабельности продаж</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&lt;0,1</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0,1</w:t>
            </w:r>
            <w:r w:rsidR="00ED5FEE">
              <w:rPr>
                <w:rFonts w:ascii="Times New Roman" w:hAnsi="Times New Roman" w:cs="Times New Roman"/>
                <w:sz w:val="24"/>
                <w:szCs w:val="24"/>
              </w:rPr>
              <w:t>–</w:t>
            </w:r>
            <w:r w:rsidRPr="001D6EDF">
              <w:rPr>
                <w:rFonts w:ascii="Times New Roman" w:hAnsi="Times New Roman" w:cs="Times New Roman"/>
                <w:sz w:val="24"/>
                <w:szCs w:val="24"/>
              </w:rPr>
              <w:t>0,2</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0,2</w:t>
            </w:r>
            <w:r w:rsidR="00ED5FEE">
              <w:rPr>
                <w:rFonts w:ascii="Times New Roman" w:hAnsi="Times New Roman" w:cs="Times New Roman"/>
                <w:sz w:val="24"/>
                <w:szCs w:val="24"/>
              </w:rPr>
              <w:t>–</w:t>
            </w:r>
            <w:r w:rsidRPr="001D6EDF">
              <w:rPr>
                <w:rFonts w:ascii="Times New Roman" w:hAnsi="Times New Roman" w:cs="Times New Roman"/>
                <w:sz w:val="24"/>
                <w:szCs w:val="24"/>
              </w:rPr>
              <w:t>0,3</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&gt;0,3</w:t>
            </w:r>
          </w:p>
        </w:tc>
      </w:tr>
      <w:tr w:rsidR="009B2CF0" w:rsidRPr="001D6EDF" w:rsidTr="00F64C6F">
        <w:trPr>
          <w:trHeight w:val="727"/>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рентабельности по текущим затратам</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&lt;0,15</w:t>
            </w:r>
          </w:p>
        </w:tc>
        <w:tc>
          <w:tcPr>
            <w:tcW w:w="1833" w:type="dxa"/>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0,15</w:t>
            </w:r>
            <w:r w:rsidR="00ED5FEE">
              <w:rPr>
                <w:rFonts w:ascii="Times New Roman" w:hAnsi="Times New Roman" w:cs="Times New Roman"/>
                <w:sz w:val="24"/>
                <w:szCs w:val="24"/>
              </w:rPr>
              <w:t>–</w:t>
            </w:r>
            <w:r w:rsidRPr="001D6EDF">
              <w:rPr>
                <w:rFonts w:ascii="Times New Roman" w:hAnsi="Times New Roman" w:cs="Times New Roman"/>
                <w:sz w:val="24"/>
                <w:szCs w:val="24"/>
              </w:rPr>
              <w:t>0,3</w:t>
            </w:r>
          </w:p>
        </w:tc>
        <w:tc>
          <w:tcPr>
            <w:tcW w:w="0" w:type="auto"/>
            <w:hideMark/>
          </w:tcPr>
          <w:p w:rsidR="009B2CF0" w:rsidRPr="001D6EDF" w:rsidRDefault="009B2CF0" w:rsidP="00ED5FEE">
            <w:pPr>
              <w:rPr>
                <w:rFonts w:ascii="Times New Roman" w:hAnsi="Times New Roman" w:cs="Times New Roman"/>
                <w:sz w:val="24"/>
                <w:szCs w:val="24"/>
              </w:rPr>
            </w:pPr>
            <w:r w:rsidRPr="001D6EDF">
              <w:rPr>
                <w:rFonts w:ascii="Times New Roman" w:hAnsi="Times New Roman" w:cs="Times New Roman"/>
                <w:sz w:val="24"/>
                <w:szCs w:val="24"/>
              </w:rPr>
              <w:t>0,3</w:t>
            </w:r>
            <w:r w:rsidR="00ED5FEE">
              <w:rPr>
                <w:rFonts w:ascii="Times New Roman" w:hAnsi="Times New Roman" w:cs="Times New Roman"/>
                <w:sz w:val="24"/>
                <w:szCs w:val="24"/>
              </w:rPr>
              <w:t>–</w:t>
            </w:r>
            <w:r w:rsidRPr="001D6EDF">
              <w:rPr>
                <w:rFonts w:ascii="Times New Roman" w:hAnsi="Times New Roman" w:cs="Times New Roman"/>
                <w:sz w:val="24"/>
                <w:szCs w:val="24"/>
              </w:rPr>
              <w:t>0,4</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&gt;0,4</w:t>
            </w:r>
          </w:p>
        </w:tc>
      </w:tr>
      <w:tr w:rsidR="009B2CF0" w:rsidRPr="001D6EDF" w:rsidTr="00F64C6F">
        <w:trPr>
          <w:trHeight w:val="242"/>
        </w:trPr>
        <w:tc>
          <w:tcPr>
            <w:tcW w:w="9554" w:type="dxa"/>
            <w:gridSpan w:val="5"/>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III. Показатели финансовой устойчивости</w:t>
            </w:r>
          </w:p>
        </w:tc>
      </w:tr>
      <w:tr w:rsidR="009B2CF0" w:rsidRPr="001D6EDF" w:rsidTr="00F64C6F">
        <w:trPr>
          <w:trHeight w:val="484"/>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независимости</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 0,5</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0,5</w:t>
            </w:r>
            <w:r w:rsidR="005C712D">
              <w:rPr>
                <w:rFonts w:ascii="Times New Roman" w:hAnsi="Times New Roman" w:cs="Times New Roman"/>
                <w:sz w:val="24"/>
                <w:szCs w:val="24"/>
              </w:rPr>
              <w:t>–</w:t>
            </w:r>
            <w:r w:rsidRPr="001D6EDF">
              <w:rPr>
                <w:rFonts w:ascii="Times New Roman" w:hAnsi="Times New Roman" w:cs="Times New Roman"/>
                <w:sz w:val="24"/>
                <w:szCs w:val="24"/>
              </w:rPr>
              <w:t>0,65</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0,65</w:t>
            </w:r>
            <w:r w:rsidR="005C712D">
              <w:rPr>
                <w:rFonts w:ascii="Times New Roman" w:hAnsi="Times New Roman" w:cs="Times New Roman"/>
                <w:sz w:val="24"/>
                <w:szCs w:val="24"/>
              </w:rPr>
              <w:t>–</w:t>
            </w:r>
            <w:r w:rsidRPr="001D6EDF">
              <w:rPr>
                <w:rFonts w:ascii="Times New Roman" w:hAnsi="Times New Roman" w:cs="Times New Roman"/>
                <w:sz w:val="24"/>
                <w:szCs w:val="24"/>
              </w:rPr>
              <w:t>0,8</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&gt;0,8</w:t>
            </w:r>
          </w:p>
        </w:tc>
      </w:tr>
      <w:tr w:rsidR="009B2CF0" w:rsidRPr="001D6EDF" w:rsidTr="00F64C6F">
        <w:trPr>
          <w:trHeight w:val="738"/>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Соотношение привлеченных и собственных средств</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&gt;0,8</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0,8</w:t>
            </w:r>
            <w:r w:rsidR="005C712D">
              <w:rPr>
                <w:rFonts w:ascii="Times New Roman" w:hAnsi="Times New Roman" w:cs="Times New Roman"/>
                <w:sz w:val="24"/>
                <w:szCs w:val="24"/>
              </w:rPr>
              <w:t>–</w:t>
            </w:r>
            <w:r w:rsidRPr="001D6EDF">
              <w:rPr>
                <w:rFonts w:ascii="Times New Roman" w:hAnsi="Times New Roman" w:cs="Times New Roman"/>
                <w:sz w:val="24"/>
                <w:szCs w:val="24"/>
              </w:rPr>
              <w:t>0,5</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0,5</w:t>
            </w:r>
            <w:r w:rsidR="005C712D">
              <w:rPr>
                <w:rFonts w:ascii="Times New Roman" w:hAnsi="Times New Roman" w:cs="Times New Roman"/>
                <w:sz w:val="24"/>
                <w:szCs w:val="24"/>
              </w:rPr>
              <w:t>–</w:t>
            </w:r>
            <w:r w:rsidRPr="001D6EDF">
              <w:rPr>
                <w:rFonts w:ascii="Times New Roman" w:hAnsi="Times New Roman" w:cs="Times New Roman"/>
                <w:sz w:val="24"/>
                <w:szCs w:val="24"/>
              </w:rPr>
              <w:t>0,2</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&lt;0,2</w:t>
            </w:r>
          </w:p>
        </w:tc>
      </w:tr>
      <w:tr w:rsidR="009B2CF0" w:rsidRPr="001D6EDF" w:rsidTr="00F64C6F">
        <w:trPr>
          <w:trHeight w:val="484"/>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lastRenderedPageBreak/>
              <w:t>Коэффициент дебиторской задолженности</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&gt;0,15</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0,15</w:t>
            </w:r>
            <w:r w:rsidR="005C712D">
              <w:rPr>
                <w:rFonts w:ascii="Times New Roman" w:hAnsi="Times New Roman" w:cs="Times New Roman"/>
                <w:sz w:val="24"/>
                <w:szCs w:val="24"/>
              </w:rPr>
              <w:t>–</w:t>
            </w:r>
            <w:r w:rsidRPr="001D6EDF">
              <w:rPr>
                <w:rFonts w:ascii="Times New Roman" w:hAnsi="Times New Roman" w:cs="Times New Roman"/>
                <w:sz w:val="24"/>
                <w:szCs w:val="24"/>
              </w:rPr>
              <w:t>0,1</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0,1</w:t>
            </w:r>
            <w:r w:rsidR="005C712D">
              <w:rPr>
                <w:rFonts w:ascii="Times New Roman" w:hAnsi="Times New Roman" w:cs="Times New Roman"/>
                <w:sz w:val="24"/>
                <w:szCs w:val="24"/>
              </w:rPr>
              <w:t>–</w:t>
            </w:r>
            <w:r w:rsidRPr="001D6EDF">
              <w:rPr>
                <w:rFonts w:ascii="Times New Roman" w:hAnsi="Times New Roman" w:cs="Times New Roman"/>
                <w:sz w:val="24"/>
                <w:szCs w:val="24"/>
              </w:rPr>
              <w:t>0,05</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&lt;0,05</w:t>
            </w:r>
          </w:p>
        </w:tc>
      </w:tr>
      <w:tr w:rsidR="009B2CF0" w:rsidRPr="001D6EDF" w:rsidTr="00F64C6F">
        <w:trPr>
          <w:trHeight w:val="242"/>
        </w:trPr>
        <w:tc>
          <w:tcPr>
            <w:tcW w:w="9554" w:type="dxa"/>
            <w:gridSpan w:val="5"/>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IV. Показатели платежеспособности</w:t>
            </w:r>
          </w:p>
        </w:tc>
      </w:tr>
      <w:tr w:rsidR="009B2CF0" w:rsidRPr="001D6EDF" w:rsidTr="00F64C6F">
        <w:trPr>
          <w:trHeight w:val="484"/>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абсолютной ликвидности</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&lt;0,2</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0,2</w:t>
            </w:r>
            <w:r w:rsidR="005C712D">
              <w:rPr>
                <w:rFonts w:ascii="Times New Roman" w:hAnsi="Times New Roman" w:cs="Times New Roman"/>
                <w:sz w:val="24"/>
                <w:szCs w:val="24"/>
              </w:rPr>
              <w:t>–</w:t>
            </w:r>
            <w:r w:rsidRPr="001D6EDF">
              <w:rPr>
                <w:rFonts w:ascii="Times New Roman" w:hAnsi="Times New Roman" w:cs="Times New Roman"/>
                <w:sz w:val="24"/>
                <w:szCs w:val="24"/>
              </w:rPr>
              <w:t>0,3</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0,3</w:t>
            </w:r>
            <w:r w:rsidR="005C712D">
              <w:rPr>
                <w:rFonts w:ascii="Times New Roman" w:hAnsi="Times New Roman" w:cs="Times New Roman"/>
                <w:sz w:val="24"/>
                <w:szCs w:val="24"/>
              </w:rPr>
              <w:t>–</w:t>
            </w:r>
            <w:r w:rsidRPr="001D6EDF">
              <w:rPr>
                <w:rFonts w:ascii="Times New Roman" w:hAnsi="Times New Roman" w:cs="Times New Roman"/>
                <w:sz w:val="24"/>
                <w:szCs w:val="24"/>
              </w:rPr>
              <w:t>0,4</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&gt;0,4</w:t>
            </w:r>
          </w:p>
        </w:tc>
      </w:tr>
      <w:tr w:rsidR="009B2CF0" w:rsidRPr="001D6EDF" w:rsidTr="00F64C6F">
        <w:trPr>
          <w:trHeight w:val="484"/>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Промежуточный коэффициент покрытия</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&lt;0,7</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0,7</w:t>
            </w:r>
            <w:r w:rsidR="005C712D">
              <w:rPr>
                <w:rFonts w:ascii="Times New Roman" w:hAnsi="Times New Roman" w:cs="Times New Roman"/>
                <w:sz w:val="24"/>
                <w:szCs w:val="24"/>
              </w:rPr>
              <w:t>–</w:t>
            </w:r>
            <w:r w:rsidRPr="001D6EDF">
              <w:rPr>
                <w:rFonts w:ascii="Times New Roman" w:hAnsi="Times New Roman" w:cs="Times New Roman"/>
                <w:sz w:val="24"/>
                <w:szCs w:val="24"/>
              </w:rPr>
              <w:t>0,85</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0,85</w:t>
            </w:r>
            <w:r w:rsidR="005C712D">
              <w:rPr>
                <w:rFonts w:ascii="Times New Roman" w:hAnsi="Times New Roman" w:cs="Times New Roman"/>
                <w:sz w:val="24"/>
                <w:szCs w:val="24"/>
              </w:rPr>
              <w:t>–</w:t>
            </w:r>
            <w:r w:rsidRPr="001D6EDF">
              <w:rPr>
                <w:rFonts w:ascii="Times New Roman" w:hAnsi="Times New Roman" w:cs="Times New Roman"/>
                <w:sz w:val="24"/>
                <w:szCs w:val="24"/>
              </w:rPr>
              <w:t>1,0</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 1,0</w:t>
            </w:r>
          </w:p>
        </w:tc>
      </w:tr>
      <w:tr w:rsidR="009B2CF0" w:rsidRPr="001D6EDF" w:rsidTr="00F64C6F">
        <w:trPr>
          <w:trHeight w:val="738"/>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обеспеченности запасами краткосрочных обязательств</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&lt;0,4</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0,4</w:t>
            </w:r>
            <w:r w:rsidR="005C712D">
              <w:rPr>
                <w:rFonts w:ascii="Times New Roman" w:hAnsi="Times New Roman" w:cs="Times New Roman"/>
                <w:sz w:val="24"/>
                <w:szCs w:val="24"/>
              </w:rPr>
              <w:t>–</w:t>
            </w:r>
            <w:r w:rsidRPr="001D6EDF">
              <w:rPr>
                <w:rFonts w:ascii="Times New Roman" w:hAnsi="Times New Roman" w:cs="Times New Roman"/>
                <w:sz w:val="24"/>
                <w:szCs w:val="24"/>
              </w:rPr>
              <w:t>0,6</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0,6</w:t>
            </w:r>
            <w:r w:rsidR="005C712D">
              <w:rPr>
                <w:rFonts w:ascii="Times New Roman" w:hAnsi="Times New Roman" w:cs="Times New Roman"/>
                <w:sz w:val="24"/>
                <w:szCs w:val="24"/>
              </w:rPr>
              <w:t>–</w:t>
            </w:r>
            <w:r w:rsidRPr="001D6EDF">
              <w:rPr>
                <w:rFonts w:ascii="Times New Roman" w:hAnsi="Times New Roman" w:cs="Times New Roman"/>
                <w:sz w:val="24"/>
                <w:szCs w:val="24"/>
              </w:rPr>
              <w:t>0,8</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&gt;0,8</w:t>
            </w:r>
          </w:p>
        </w:tc>
      </w:tr>
      <w:tr w:rsidR="009B2CF0" w:rsidRPr="001D6EDF" w:rsidTr="00F64C6F">
        <w:trPr>
          <w:trHeight w:val="242"/>
        </w:trPr>
        <w:tc>
          <w:tcPr>
            <w:tcW w:w="9554" w:type="dxa"/>
            <w:gridSpan w:val="5"/>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V. Показатели деловой активности</w:t>
            </w:r>
          </w:p>
        </w:tc>
      </w:tr>
      <w:tr w:rsidR="009B2CF0" w:rsidRPr="001D6EDF" w:rsidTr="00F64C6F">
        <w:trPr>
          <w:trHeight w:val="484"/>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Общий коэффициент оборачиваемости</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&lt;0,4</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0,4</w:t>
            </w:r>
            <w:r w:rsidR="005C712D">
              <w:rPr>
                <w:rFonts w:ascii="Times New Roman" w:hAnsi="Times New Roman" w:cs="Times New Roman"/>
                <w:sz w:val="24"/>
                <w:szCs w:val="24"/>
              </w:rPr>
              <w:t>–</w:t>
            </w:r>
            <w:r w:rsidRPr="001D6EDF">
              <w:rPr>
                <w:rFonts w:ascii="Times New Roman" w:hAnsi="Times New Roman" w:cs="Times New Roman"/>
                <w:sz w:val="24"/>
                <w:szCs w:val="24"/>
              </w:rPr>
              <w:t>0,6</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0,6</w:t>
            </w:r>
            <w:r w:rsidR="005C712D">
              <w:rPr>
                <w:rFonts w:ascii="Times New Roman" w:hAnsi="Times New Roman" w:cs="Times New Roman"/>
                <w:sz w:val="24"/>
                <w:szCs w:val="24"/>
              </w:rPr>
              <w:t>–</w:t>
            </w:r>
            <w:r w:rsidRPr="001D6EDF">
              <w:rPr>
                <w:rFonts w:ascii="Times New Roman" w:hAnsi="Times New Roman" w:cs="Times New Roman"/>
                <w:sz w:val="24"/>
                <w:szCs w:val="24"/>
              </w:rPr>
              <w:t>0,8</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&gt;0,8</w:t>
            </w:r>
          </w:p>
        </w:tc>
      </w:tr>
      <w:tr w:rsidR="009B2CF0" w:rsidRPr="001D6EDF" w:rsidTr="00F64C6F">
        <w:trPr>
          <w:trHeight w:val="495"/>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оборачиваемости запасов</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&lt;2,0</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2,0</w:t>
            </w:r>
            <w:r w:rsidR="005C712D">
              <w:rPr>
                <w:rFonts w:ascii="Times New Roman" w:hAnsi="Times New Roman" w:cs="Times New Roman"/>
                <w:sz w:val="24"/>
                <w:szCs w:val="24"/>
              </w:rPr>
              <w:t>–</w:t>
            </w:r>
            <w:r w:rsidRPr="001D6EDF">
              <w:rPr>
                <w:rFonts w:ascii="Times New Roman" w:hAnsi="Times New Roman" w:cs="Times New Roman"/>
                <w:sz w:val="24"/>
                <w:szCs w:val="24"/>
              </w:rPr>
              <w:t>3,0</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3,0</w:t>
            </w:r>
            <w:r w:rsidR="005C712D">
              <w:rPr>
                <w:rFonts w:ascii="Times New Roman" w:hAnsi="Times New Roman" w:cs="Times New Roman"/>
                <w:sz w:val="24"/>
                <w:szCs w:val="24"/>
              </w:rPr>
              <w:t>–</w:t>
            </w:r>
            <w:r w:rsidRPr="001D6EDF">
              <w:rPr>
                <w:rFonts w:ascii="Times New Roman" w:hAnsi="Times New Roman" w:cs="Times New Roman"/>
                <w:sz w:val="24"/>
                <w:szCs w:val="24"/>
              </w:rPr>
              <w:t>4,0</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 4,0</w:t>
            </w:r>
          </w:p>
        </w:tc>
      </w:tr>
      <w:tr w:rsidR="009B2CF0" w:rsidRPr="001D6EDF" w:rsidTr="00F64C6F">
        <w:trPr>
          <w:trHeight w:val="738"/>
        </w:trPr>
        <w:tc>
          <w:tcPr>
            <w:tcW w:w="199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Коэффициент оборачиваемости собственных средств</w:t>
            </w:r>
          </w:p>
        </w:tc>
        <w:tc>
          <w:tcPr>
            <w:tcW w:w="1362"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&lt;0,8</w:t>
            </w:r>
          </w:p>
        </w:tc>
        <w:tc>
          <w:tcPr>
            <w:tcW w:w="1833" w:type="dxa"/>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0,8</w:t>
            </w:r>
            <w:r w:rsidR="005C712D">
              <w:rPr>
                <w:rFonts w:ascii="Times New Roman" w:hAnsi="Times New Roman" w:cs="Times New Roman"/>
                <w:sz w:val="24"/>
                <w:szCs w:val="24"/>
              </w:rPr>
              <w:t>–</w:t>
            </w:r>
            <w:r w:rsidRPr="001D6EDF">
              <w:rPr>
                <w:rFonts w:ascii="Times New Roman" w:hAnsi="Times New Roman" w:cs="Times New Roman"/>
                <w:sz w:val="24"/>
                <w:szCs w:val="24"/>
              </w:rPr>
              <w:t>0,9</w:t>
            </w:r>
          </w:p>
        </w:tc>
        <w:tc>
          <w:tcPr>
            <w:tcW w:w="0" w:type="auto"/>
            <w:hideMark/>
          </w:tcPr>
          <w:p w:rsidR="009B2CF0" w:rsidRPr="001D6EDF" w:rsidRDefault="009B2CF0" w:rsidP="005C712D">
            <w:pPr>
              <w:rPr>
                <w:rFonts w:ascii="Times New Roman" w:hAnsi="Times New Roman" w:cs="Times New Roman"/>
                <w:sz w:val="24"/>
                <w:szCs w:val="24"/>
              </w:rPr>
            </w:pPr>
            <w:r w:rsidRPr="001D6EDF">
              <w:rPr>
                <w:rFonts w:ascii="Times New Roman" w:hAnsi="Times New Roman" w:cs="Times New Roman"/>
                <w:sz w:val="24"/>
                <w:szCs w:val="24"/>
              </w:rPr>
              <w:t>0,9</w:t>
            </w:r>
            <w:r w:rsidR="005C712D">
              <w:rPr>
                <w:rFonts w:ascii="Times New Roman" w:hAnsi="Times New Roman" w:cs="Times New Roman"/>
                <w:sz w:val="24"/>
                <w:szCs w:val="24"/>
              </w:rPr>
              <w:t>–</w:t>
            </w:r>
            <w:r w:rsidRPr="001D6EDF">
              <w:rPr>
                <w:rFonts w:ascii="Times New Roman" w:hAnsi="Times New Roman" w:cs="Times New Roman"/>
                <w:sz w:val="24"/>
                <w:szCs w:val="24"/>
              </w:rPr>
              <w:t>1,0</w:t>
            </w:r>
          </w:p>
        </w:tc>
        <w:tc>
          <w:tcPr>
            <w:tcW w:w="2198" w:type="dxa"/>
            <w:hideMark/>
          </w:tcPr>
          <w:p w:rsidR="009B2CF0" w:rsidRPr="001D6EDF" w:rsidRDefault="009B2CF0" w:rsidP="00D3604E">
            <w:pPr>
              <w:rPr>
                <w:rFonts w:ascii="Times New Roman" w:hAnsi="Times New Roman" w:cs="Times New Roman"/>
                <w:sz w:val="24"/>
                <w:szCs w:val="24"/>
              </w:rPr>
            </w:pPr>
            <w:r w:rsidRPr="001D6EDF">
              <w:rPr>
                <w:rFonts w:ascii="Times New Roman" w:hAnsi="Times New Roman" w:cs="Times New Roman"/>
                <w:sz w:val="24"/>
                <w:szCs w:val="24"/>
              </w:rPr>
              <w:t>&gt; 1,0</w:t>
            </w:r>
          </w:p>
        </w:tc>
      </w:tr>
    </w:tbl>
    <w:p w:rsidR="000A6E1F" w:rsidRDefault="000A6E1F" w:rsidP="003C48A7">
      <w:pPr>
        <w:spacing w:after="0" w:line="360" w:lineRule="auto"/>
        <w:ind w:firstLine="567"/>
        <w:jc w:val="both"/>
        <w:rPr>
          <w:rFonts w:ascii="Times New Roman" w:hAnsi="Times New Roman" w:cs="Times New Roman"/>
          <w:sz w:val="24"/>
          <w:szCs w:val="24"/>
        </w:rPr>
      </w:pPr>
    </w:p>
    <w:p w:rsidR="00FE2593" w:rsidRPr="009B2CF0" w:rsidRDefault="00B944A7" w:rsidP="003C48A7">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Д</w:t>
      </w:r>
      <w:r w:rsidR="00FE2593" w:rsidRPr="009B2CF0">
        <w:rPr>
          <w:rFonts w:ascii="Times New Roman" w:hAnsi="Times New Roman" w:cs="Times New Roman"/>
          <w:sz w:val="24"/>
          <w:szCs w:val="24"/>
        </w:rPr>
        <w:t xml:space="preserve">анная модель строится на балльной оценке коэффициентов 5 базовых групп: структуры баланса, рентабельности, </w:t>
      </w:r>
      <w:r w:rsidR="00E8284F" w:rsidRPr="009B2CF0">
        <w:rPr>
          <w:rFonts w:ascii="Times New Roman" w:hAnsi="Times New Roman" w:cs="Times New Roman"/>
          <w:sz w:val="24"/>
          <w:szCs w:val="24"/>
        </w:rPr>
        <w:t>финансовой у</w:t>
      </w:r>
      <w:r w:rsidR="00FE2593" w:rsidRPr="009B2CF0">
        <w:rPr>
          <w:rFonts w:ascii="Times New Roman" w:hAnsi="Times New Roman" w:cs="Times New Roman"/>
          <w:sz w:val="24"/>
          <w:szCs w:val="24"/>
        </w:rPr>
        <w:t>сто</w:t>
      </w:r>
      <w:r w:rsidR="00E8284F" w:rsidRPr="009B2CF0">
        <w:rPr>
          <w:rFonts w:ascii="Times New Roman" w:hAnsi="Times New Roman" w:cs="Times New Roman"/>
          <w:sz w:val="24"/>
          <w:szCs w:val="24"/>
        </w:rPr>
        <w:t>й</w:t>
      </w:r>
      <w:r w:rsidR="00FE2593" w:rsidRPr="009B2CF0">
        <w:rPr>
          <w:rFonts w:ascii="Times New Roman" w:hAnsi="Times New Roman" w:cs="Times New Roman"/>
          <w:sz w:val="24"/>
          <w:szCs w:val="24"/>
        </w:rPr>
        <w:t>чивости, платежеспособности и деловой активности.</w:t>
      </w:r>
      <w:r w:rsidR="00DB64A1" w:rsidRPr="009B2CF0">
        <w:rPr>
          <w:rFonts w:ascii="Times New Roman" w:hAnsi="Times New Roman" w:cs="Times New Roman"/>
          <w:sz w:val="24"/>
          <w:szCs w:val="24"/>
        </w:rPr>
        <w:t xml:space="preserve"> Кроме того, </w:t>
      </w:r>
      <w:r w:rsidR="00FE2593" w:rsidRPr="009B2CF0">
        <w:rPr>
          <w:rFonts w:ascii="Times New Roman" w:hAnsi="Times New Roman" w:cs="Times New Roman"/>
          <w:sz w:val="24"/>
          <w:szCs w:val="24"/>
        </w:rPr>
        <w:t>в таблице приведены нормативы по коэффициентам</w:t>
      </w:r>
      <w:r w:rsidR="00DB64A1" w:rsidRPr="009B2CF0">
        <w:rPr>
          <w:rFonts w:ascii="Times New Roman" w:hAnsi="Times New Roman" w:cs="Times New Roman"/>
          <w:sz w:val="24"/>
          <w:szCs w:val="24"/>
        </w:rPr>
        <w:t>, но</w:t>
      </w:r>
      <w:r w:rsidR="009E5419" w:rsidRPr="009B2CF0">
        <w:rPr>
          <w:rFonts w:ascii="Times New Roman" w:hAnsi="Times New Roman" w:cs="Times New Roman"/>
          <w:sz w:val="24"/>
          <w:szCs w:val="24"/>
        </w:rPr>
        <w:t>,</w:t>
      </w:r>
      <w:r w:rsidR="00FE2593" w:rsidRPr="009B2CF0">
        <w:rPr>
          <w:rFonts w:ascii="Times New Roman" w:hAnsi="Times New Roman" w:cs="Times New Roman"/>
          <w:sz w:val="24"/>
          <w:szCs w:val="24"/>
        </w:rPr>
        <w:t xml:space="preserve"> как можно заметить, нормативы не учитывают специфику отрасли, а являются общими и универсальными д</w:t>
      </w:r>
      <w:r w:rsidR="004D70E9">
        <w:rPr>
          <w:rFonts w:ascii="Times New Roman" w:hAnsi="Times New Roman" w:cs="Times New Roman"/>
          <w:sz w:val="24"/>
          <w:szCs w:val="24"/>
        </w:rPr>
        <w:t>ля различных секторов экономики [9</w:t>
      </w:r>
      <w:r w:rsidR="003243C7">
        <w:rPr>
          <w:rFonts w:ascii="Times New Roman" w:hAnsi="Times New Roman" w:cs="Times New Roman"/>
          <w:sz w:val="24"/>
          <w:szCs w:val="24"/>
        </w:rPr>
        <w:t>, С. 281</w:t>
      </w:r>
      <w:r w:rsidR="003C48A7" w:rsidRPr="009B2CF0">
        <w:rPr>
          <w:rFonts w:ascii="Times New Roman" w:hAnsi="Times New Roman" w:cs="Times New Roman"/>
          <w:sz w:val="24"/>
          <w:szCs w:val="24"/>
        </w:rPr>
        <w:t>]</w:t>
      </w:r>
      <w:r w:rsidR="004D70E9">
        <w:rPr>
          <w:rFonts w:ascii="Times New Roman" w:hAnsi="Times New Roman" w:cs="Times New Roman"/>
          <w:sz w:val="24"/>
          <w:szCs w:val="24"/>
        </w:rPr>
        <w:t>.</w:t>
      </w:r>
      <w:r w:rsidR="00FE2593" w:rsidRPr="009B2CF0">
        <w:rPr>
          <w:rFonts w:ascii="Times New Roman" w:hAnsi="Times New Roman" w:cs="Times New Roman"/>
          <w:sz w:val="24"/>
          <w:szCs w:val="24"/>
        </w:rPr>
        <w:t xml:space="preserve"> В разрезе высокотехнологичных отраслей такое обобщение, к сожалению, недопустимо в разрезе измененной структуры баланса с большим уклоном на нематериальные активы.</w:t>
      </w:r>
      <w:r w:rsidR="003C48A7" w:rsidRPr="009B2CF0">
        <w:rPr>
          <w:rFonts w:ascii="Times New Roman" w:hAnsi="Times New Roman" w:cs="Times New Roman"/>
          <w:sz w:val="24"/>
          <w:szCs w:val="24"/>
        </w:rPr>
        <w:t xml:space="preserve"> </w:t>
      </w:r>
      <w:r w:rsidR="00FE2593" w:rsidRPr="009B2CF0">
        <w:rPr>
          <w:rFonts w:ascii="Times New Roman" w:hAnsi="Times New Roman" w:cs="Times New Roman"/>
          <w:sz w:val="24"/>
          <w:szCs w:val="24"/>
        </w:rPr>
        <w:t xml:space="preserve">Примеры структур баланса высокотехнологичных компаний можно увидеть </w:t>
      </w:r>
      <w:r w:rsidR="005C712D">
        <w:rPr>
          <w:rFonts w:ascii="Times New Roman" w:hAnsi="Times New Roman" w:cs="Times New Roman"/>
          <w:sz w:val="24"/>
          <w:szCs w:val="24"/>
        </w:rPr>
        <w:t>в</w:t>
      </w:r>
      <w:r w:rsidR="00FE2593" w:rsidRPr="009B2CF0">
        <w:rPr>
          <w:rFonts w:ascii="Times New Roman" w:hAnsi="Times New Roman" w:cs="Times New Roman"/>
          <w:sz w:val="24"/>
          <w:szCs w:val="24"/>
        </w:rPr>
        <w:t xml:space="preserve"> </w:t>
      </w:r>
      <w:r w:rsidR="009B2CF0" w:rsidRPr="009B2CF0">
        <w:rPr>
          <w:rFonts w:ascii="Times New Roman" w:hAnsi="Times New Roman" w:cs="Times New Roman"/>
          <w:sz w:val="24"/>
          <w:szCs w:val="24"/>
        </w:rPr>
        <w:t>табл</w:t>
      </w:r>
      <w:r w:rsidR="005C712D">
        <w:rPr>
          <w:rFonts w:ascii="Times New Roman" w:hAnsi="Times New Roman" w:cs="Times New Roman"/>
          <w:sz w:val="24"/>
          <w:szCs w:val="24"/>
        </w:rPr>
        <w:t>.</w:t>
      </w:r>
      <w:r w:rsidR="009B2CF0" w:rsidRPr="009B2CF0">
        <w:rPr>
          <w:rFonts w:ascii="Times New Roman" w:hAnsi="Times New Roman" w:cs="Times New Roman"/>
          <w:sz w:val="24"/>
          <w:szCs w:val="24"/>
        </w:rPr>
        <w:t> </w:t>
      </w:r>
      <w:r w:rsidR="00A34081" w:rsidRPr="009B2CF0">
        <w:rPr>
          <w:rFonts w:ascii="Times New Roman" w:hAnsi="Times New Roman" w:cs="Times New Roman"/>
          <w:sz w:val="24"/>
          <w:szCs w:val="24"/>
        </w:rPr>
        <w:t>2</w:t>
      </w:r>
      <w:r w:rsidR="00E8284F" w:rsidRPr="009B2CF0">
        <w:rPr>
          <w:rFonts w:ascii="Times New Roman" w:hAnsi="Times New Roman" w:cs="Times New Roman"/>
          <w:sz w:val="24"/>
          <w:szCs w:val="24"/>
        </w:rPr>
        <w:t>.</w:t>
      </w:r>
    </w:p>
    <w:p w:rsidR="00DB64A1" w:rsidRDefault="00DB64A1" w:rsidP="009B2CF0">
      <w:pPr>
        <w:spacing w:after="0" w:line="360" w:lineRule="auto"/>
        <w:rPr>
          <w:rFonts w:ascii="Times New Roman" w:hAnsi="Times New Roman" w:cs="Times New Roman"/>
          <w:sz w:val="24"/>
          <w:szCs w:val="24"/>
        </w:rPr>
      </w:pPr>
      <w:r w:rsidRPr="009B2CF0">
        <w:rPr>
          <w:rFonts w:ascii="Times New Roman" w:hAnsi="Times New Roman" w:cs="Times New Roman"/>
          <w:sz w:val="24"/>
          <w:szCs w:val="24"/>
        </w:rPr>
        <w:t>Таблица 2. Структура активов крупных компаний высокотехнологичной отрасли*.</w:t>
      </w:r>
    </w:p>
    <w:tbl>
      <w:tblPr>
        <w:tblStyle w:val="ab"/>
        <w:tblW w:w="0" w:type="auto"/>
        <w:tblLook w:val="04A0" w:firstRow="1" w:lastRow="0" w:firstColumn="1" w:lastColumn="0" w:noHBand="0" w:noVBand="1"/>
      </w:tblPr>
      <w:tblGrid>
        <w:gridCol w:w="1982"/>
        <w:gridCol w:w="1982"/>
        <w:gridCol w:w="1982"/>
        <w:gridCol w:w="1983"/>
        <w:gridCol w:w="1983"/>
      </w:tblGrid>
      <w:tr w:rsidR="004D70E9" w:rsidTr="004D70E9">
        <w:tc>
          <w:tcPr>
            <w:tcW w:w="1982" w:type="dxa"/>
          </w:tcPr>
          <w:p w:rsidR="004D70E9" w:rsidRDefault="004D70E9" w:rsidP="009B2CF0">
            <w:pPr>
              <w:spacing w:line="360" w:lineRule="auto"/>
              <w:rPr>
                <w:rFonts w:ascii="Times New Roman" w:hAnsi="Times New Roman" w:cs="Times New Roman"/>
                <w:sz w:val="24"/>
                <w:szCs w:val="24"/>
              </w:rPr>
            </w:pPr>
            <w:r w:rsidRPr="009B2CF0">
              <w:rPr>
                <w:rFonts w:ascii="Times New Roman" w:hAnsi="Times New Roman" w:cs="Times New Roman"/>
                <w:sz w:val="24"/>
                <w:szCs w:val="24"/>
              </w:rPr>
              <w:t>Показатели</w:t>
            </w:r>
          </w:p>
        </w:tc>
        <w:tc>
          <w:tcPr>
            <w:tcW w:w="1982" w:type="dxa"/>
          </w:tcPr>
          <w:p w:rsidR="004D70E9" w:rsidRDefault="004D70E9" w:rsidP="005C712D">
            <w:pPr>
              <w:spacing w:line="360" w:lineRule="auto"/>
              <w:rPr>
                <w:rFonts w:ascii="Times New Roman" w:hAnsi="Times New Roman" w:cs="Times New Roman"/>
                <w:sz w:val="24"/>
                <w:szCs w:val="24"/>
              </w:rPr>
            </w:pPr>
            <w:r w:rsidRPr="009B2CF0">
              <w:rPr>
                <w:rFonts w:ascii="Times New Roman" w:hAnsi="Times New Roman" w:cs="Times New Roman"/>
                <w:sz w:val="24"/>
                <w:szCs w:val="24"/>
              </w:rPr>
              <w:t>Внеоборотные активы, в том числе</w:t>
            </w:r>
          </w:p>
        </w:tc>
        <w:tc>
          <w:tcPr>
            <w:tcW w:w="1982" w:type="dxa"/>
          </w:tcPr>
          <w:p w:rsidR="004D70E9" w:rsidRDefault="004D70E9" w:rsidP="009B2CF0">
            <w:pPr>
              <w:spacing w:line="360" w:lineRule="auto"/>
              <w:rPr>
                <w:rFonts w:ascii="Times New Roman" w:hAnsi="Times New Roman" w:cs="Times New Roman"/>
                <w:sz w:val="24"/>
                <w:szCs w:val="24"/>
              </w:rPr>
            </w:pPr>
            <w:r w:rsidRPr="009B2CF0">
              <w:rPr>
                <w:rFonts w:ascii="Times New Roman" w:hAnsi="Times New Roman" w:cs="Times New Roman"/>
                <w:sz w:val="24"/>
                <w:szCs w:val="24"/>
              </w:rPr>
              <w:t>Нематериальные активы</w:t>
            </w:r>
          </w:p>
        </w:tc>
        <w:tc>
          <w:tcPr>
            <w:tcW w:w="1983" w:type="dxa"/>
          </w:tcPr>
          <w:p w:rsidR="004D70E9" w:rsidRDefault="004D70E9" w:rsidP="009B2CF0">
            <w:pPr>
              <w:spacing w:line="360" w:lineRule="auto"/>
              <w:rPr>
                <w:rFonts w:ascii="Times New Roman" w:hAnsi="Times New Roman" w:cs="Times New Roman"/>
                <w:sz w:val="24"/>
                <w:szCs w:val="24"/>
              </w:rPr>
            </w:pPr>
            <w:r w:rsidRPr="009B2CF0">
              <w:rPr>
                <w:rFonts w:ascii="Times New Roman" w:hAnsi="Times New Roman" w:cs="Times New Roman"/>
                <w:sz w:val="24"/>
                <w:szCs w:val="24"/>
              </w:rPr>
              <w:t>Основные средства</w:t>
            </w:r>
          </w:p>
        </w:tc>
        <w:tc>
          <w:tcPr>
            <w:tcW w:w="1983" w:type="dxa"/>
          </w:tcPr>
          <w:p w:rsidR="004D70E9" w:rsidRDefault="004D70E9" w:rsidP="009B2CF0">
            <w:pPr>
              <w:spacing w:line="360" w:lineRule="auto"/>
              <w:rPr>
                <w:rFonts w:ascii="Times New Roman" w:hAnsi="Times New Roman" w:cs="Times New Roman"/>
                <w:sz w:val="24"/>
                <w:szCs w:val="24"/>
              </w:rPr>
            </w:pPr>
            <w:r w:rsidRPr="009B2CF0">
              <w:rPr>
                <w:rFonts w:ascii="Times New Roman" w:hAnsi="Times New Roman" w:cs="Times New Roman"/>
                <w:sz w:val="24"/>
                <w:szCs w:val="24"/>
              </w:rPr>
              <w:t>Оборотные активы</w:t>
            </w:r>
          </w:p>
        </w:tc>
      </w:tr>
      <w:tr w:rsidR="004D70E9" w:rsidTr="004D70E9">
        <w:tc>
          <w:tcPr>
            <w:tcW w:w="1982" w:type="dxa"/>
          </w:tcPr>
          <w:p w:rsidR="004D70E9" w:rsidRP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ООО </w:t>
            </w:r>
            <w:r>
              <w:rPr>
                <w:rFonts w:ascii="Times New Roman" w:hAnsi="Times New Roman" w:cs="Times New Roman"/>
                <w:sz w:val="24"/>
                <w:szCs w:val="24"/>
              </w:rPr>
              <w:t>«Яндекс»</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24031509</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1548290</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4647913</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64433485</w:t>
            </w:r>
          </w:p>
        </w:tc>
      </w:tr>
      <w:tr w:rsidR="004D70E9" w:rsidTr="004D70E9">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ООО «Вконтакте»</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2183132</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7443</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1168891</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6417909</w:t>
            </w:r>
          </w:p>
        </w:tc>
      </w:tr>
      <w:tr w:rsidR="004D70E9" w:rsidTr="004D70E9">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ООО «Гугл»</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151732</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50011</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12287216</w:t>
            </w:r>
          </w:p>
        </w:tc>
      </w:tr>
      <w:tr w:rsidR="004D70E9" w:rsidTr="004D70E9">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АО «Лаборатория Касперского»</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4204313</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629910</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2117605</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6501251</w:t>
            </w:r>
          </w:p>
        </w:tc>
      </w:tr>
      <w:tr w:rsidR="004D70E9" w:rsidTr="004D70E9">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АО «Айтеко»</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838056</w:t>
            </w:r>
          </w:p>
        </w:tc>
        <w:tc>
          <w:tcPr>
            <w:tcW w:w="1982"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324124</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415809</w:t>
            </w:r>
          </w:p>
        </w:tc>
        <w:tc>
          <w:tcPr>
            <w:tcW w:w="1983" w:type="dxa"/>
          </w:tcPr>
          <w:p w:rsidR="004D70E9" w:rsidRDefault="004D70E9" w:rsidP="009B2CF0">
            <w:pPr>
              <w:spacing w:line="360" w:lineRule="auto"/>
              <w:rPr>
                <w:rFonts w:ascii="Times New Roman" w:hAnsi="Times New Roman" w:cs="Times New Roman"/>
                <w:sz w:val="24"/>
                <w:szCs w:val="24"/>
              </w:rPr>
            </w:pPr>
            <w:r>
              <w:rPr>
                <w:rFonts w:ascii="Times New Roman" w:hAnsi="Times New Roman" w:cs="Times New Roman"/>
                <w:sz w:val="24"/>
                <w:szCs w:val="24"/>
              </w:rPr>
              <w:t>7881857</w:t>
            </w:r>
          </w:p>
        </w:tc>
      </w:tr>
    </w:tbl>
    <w:p w:rsidR="00DB64A1" w:rsidRPr="005C712D" w:rsidRDefault="00DB64A1" w:rsidP="000B59D8">
      <w:pPr>
        <w:spacing w:after="0" w:line="360" w:lineRule="auto"/>
        <w:ind w:firstLine="567"/>
        <w:jc w:val="both"/>
        <w:rPr>
          <w:rFonts w:ascii="Times New Roman" w:hAnsi="Times New Roman" w:cs="Times New Roman"/>
          <w:i/>
          <w:sz w:val="24"/>
          <w:szCs w:val="24"/>
        </w:rPr>
      </w:pPr>
      <w:r w:rsidRPr="005C712D">
        <w:rPr>
          <w:rFonts w:ascii="Times New Roman" w:hAnsi="Times New Roman" w:cs="Times New Roman"/>
          <w:i/>
          <w:sz w:val="24"/>
          <w:szCs w:val="24"/>
        </w:rPr>
        <w:t>*Со</w:t>
      </w:r>
      <w:r w:rsidR="0073254F" w:rsidRPr="005C712D">
        <w:rPr>
          <w:rFonts w:ascii="Times New Roman" w:hAnsi="Times New Roman" w:cs="Times New Roman"/>
          <w:i/>
          <w:sz w:val="24"/>
          <w:szCs w:val="24"/>
        </w:rPr>
        <w:t>ставлено автором на основании [</w:t>
      </w:r>
      <w:r w:rsidR="00F64C6F" w:rsidRPr="005C712D">
        <w:rPr>
          <w:rFonts w:ascii="Times New Roman" w:hAnsi="Times New Roman" w:cs="Times New Roman"/>
          <w:i/>
          <w:sz w:val="24"/>
          <w:szCs w:val="24"/>
        </w:rPr>
        <w:t>9</w:t>
      </w:r>
      <w:r w:rsidRPr="005C712D">
        <w:rPr>
          <w:rFonts w:ascii="Times New Roman" w:hAnsi="Times New Roman" w:cs="Times New Roman"/>
          <w:i/>
          <w:sz w:val="24"/>
          <w:szCs w:val="24"/>
        </w:rPr>
        <w:t>, с. 224]</w:t>
      </w:r>
    </w:p>
    <w:p w:rsidR="00E378D0" w:rsidRPr="009B2CF0" w:rsidRDefault="00A34081" w:rsidP="000B59D8">
      <w:pPr>
        <w:spacing w:after="0" w:line="360" w:lineRule="auto"/>
        <w:ind w:firstLine="567"/>
        <w:jc w:val="both"/>
        <w:rPr>
          <w:rFonts w:ascii="Times New Roman" w:hAnsi="Times New Roman" w:cs="Times New Roman"/>
          <w:sz w:val="24"/>
          <w:szCs w:val="24"/>
        </w:rPr>
      </w:pPr>
      <w:r w:rsidRPr="009B2CF0">
        <w:rPr>
          <w:rFonts w:ascii="Times New Roman" w:hAnsi="Times New Roman" w:cs="Times New Roman"/>
          <w:sz w:val="24"/>
          <w:szCs w:val="24"/>
        </w:rPr>
        <w:t>Как можно увидеть</w:t>
      </w:r>
      <w:r w:rsidR="00DB64A1" w:rsidRPr="009B2CF0">
        <w:rPr>
          <w:rFonts w:ascii="Times New Roman" w:hAnsi="Times New Roman" w:cs="Times New Roman"/>
          <w:sz w:val="24"/>
          <w:szCs w:val="24"/>
        </w:rPr>
        <w:t xml:space="preserve"> из</w:t>
      </w:r>
      <w:r w:rsidRPr="009B2CF0">
        <w:rPr>
          <w:rFonts w:ascii="Times New Roman" w:hAnsi="Times New Roman" w:cs="Times New Roman"/>
          <w:sz w:val="24"/>
          <w:szCs w:val="24"/>
        </w:rPr>
        <w:t xml:space="preserve"> табл</w:t>
      </w:r>
      <w:r w:rsidR="005C712D">
        <w:rPr>
          <w:rFonts w:ascii="Times New Roman" w:hAnsi="Times New Roman" w:cs="Times New Roman"/>
          <w:sz w:val="24"/>
          <w:szCs w:val="24"/>
        </w:rPr>
        <w:t>.</w:t>
      </w:r>
      <w:r w:rsidRPr="009B2CF0">
        <w:rPr>
          <w:rFonts w:ascii="Times New Roman" w:hAnsi="Times New Roman" w:cs="Times New Roman"/>
          <w:sz w:val="24"/>
          <w:szCs w:val="24"/>
        </w:rPr>
        <w:t xml:space="preserve"> 2</w:t>
      </w:r>
      <w:r w:rsidR="00FE2593" w:rsidRPr="009B2CF0">
        <w:rPr>
          <w:rFonts w:ascii="Times New Roman" w:hAnsi="Times New Roman" w:cs="Times New Roman"/>
          <w:sz w:val="24"/>
          <w:szCs w:val="24"/>
        </w:rPr>
        <w:t xml:space="preserve">, выделенные компании имеют структуру баланса со смещенными с классического понимания «акцентами» и увеличением доли внеоборотных активов, а также </w:t>
      </w:r>
      <w:r w:rsidR="001F08C4" w:rsidRPr="009B2CF0">
        <w:rPr>
          <w:rFonts w:ascii="Times New Roman" w:hAnsi="Times New Roman" w:cs="Times New Roman"/>
          <w:sz w:val="24"/>
          <w:szCs w:val="24"/>
        </w:rPr>
        <w:t>дебиторской задолженности</w:t>
      </w:r>
      <w:r w:rsidR="00DB64A1" w:rsidRPr="009B2CF0">
        <w:rPr>
          <w:rFonts w:ascii="Times New Roman" w:hAnsi="Times New Roman" w:cs="Times New Roman"/>
          <w:sz w:val="24"/>
          <w:szCs w:val="24"/>
        </w:rPr>
        <w:t>, что позволяе</w:t>
      </w:r>
      <w:r w:rsidR="001F08C4" w:rsidRPr="009B2CF0">
        <w:rPr>
          <w:rFonts w:ascii="Times New Roman" w:hAnsi="Times New Roman" w:cs="Times New Roman"/>
          <w:sz w:val="24"/>
          <w:szCs w:val="24"/>
        </w:rPr>
        <w:t>т с уверенностью сказать, что балльная система оценки вероятности банкротства на основе коэффициентного анализа требует доработки и адаптации.</w:t>
      </w:r>
      <w:r w:rsidR="00DB64A1" w:rsidRPr="009B2CF0">
        <w:rPr>
          <w:rFonts w:ascii="Times New Roman" w:hAnsi="Times New Roman" w:cs="Times New Roman"/>
          <w:sz w:val="24"/>
          <w:szCs w:val="24"/>
        </w:rPr>
        <w:t xml:space="preserve"> Так</w:t>
      </w:r>
      <w:r w:rsidR="0032311D" w:rsidRPr="009B2CF0">
        <w:rPr>
          <w:rFonts w:ascii="Times New Roman" w:hAnsi="Times New Roman" w:cs="Times New Roman"/>
          <w:sz w:val="24"/>
          <w:szCs w:val="24"/>
        </w:rPr>
        <w:t>, многие коэффициент</w:t>
      </w:r>
      <w:r w:rsidR="00E378D0" w:rsidRPr="009B2CF0">
        <w:rPr>
          <w:rFonts w:ascii="Times New Roman" w:hAnsi="Times New Roman" w:cs="Times New Roman"/>
          <w:sz w:val="24"/>
          <w:szCs w:val="24"/>
        </w:rPr>
        <w:t>ы</w:t>
      </w:r>
      <w:r w:rsidR="0032311D" w:rsidRPr="009B2CF0">
        <w:rPr>
          <w:rFonts w:ascii="Times New Roman" w:hAnsi="Times New Roman" w:cs="Times New Roman"/>
          <w:sz w:val="24"/>
          <w:szCs w:val="24"/>
        </w:rPr>
        <w:t xml:space="preserve">, </w:t>
      </w:r>
      <w:r w:rsidR="00DB64A1" w:rsidRPr="009B2CF0">
        <w:rPr>
          <w:rFonts w:ascii="Times New Roman" w:hAnsi="Times New Roman" w:cs="Times New Roman"/>
          <w:sz w:val="24"/>
          <w:szCs w:val="24"/>
        </w:rPr>
        <w:t>например</w:t>
      </w:r>
      <w:r w:rsidR="0032311D" w:rsidRPr="009B2CF0">
        <w:rPr>
          <w:rFonts w:ascii="Times New Roman" w:hAnsi="Times New Roman" w:cs="Times New Roman"/>
          <w:sz w:val="24"/>
          <w:szCs w:val="24"/>
        </w:rPr>
        <w:t xml:space="preserve"> </w:t>
      </w:r>
      <w:r w:rsidR="00E378D0" w:rsidRPr="009B2CF0">
        <w:rPr>
          <w:rFonts w:ascii="Times New Roman" w:hAnsi="Times New Roman" w:cs="Times New Roman"/>
          <w:sz w:val="24"/>
          <w:szCs w:val="24"/>
        </w:rPr>
        <w:t>коэффициенты ликвидности или финансовой устойчивости</w:t>
      </w:r>
      <w:r w:rsidR="005C712D">
        <w:rPr>
          <w:rFonts w:ascii="Times New Roman" w:hAnsi="Times New Roman" w:cs="Times New Roman"/>
          <w:sz w:val="24"/>
          <w:szCs w:val="24"/>
        </w:rPr>
        <w:t>,</w:t>
      </w:r>
      <w:r w:rsidR="00E378D0" w:rsidRPr="009B2CF0">
        <w:rPr>
          <w:rFonts w:ascii="Times New Roman" w:hAnsi="Times New Roman" w:cs="Times New Roman"/>
          <w:sz w:val="24"/>
          <w:szCs w:val="24"/>
        </w:rPr>
        <w:t xml:space="preserve"> базируются на активном использовании именно оборотных активов предприятия, несмотря на то что в высокотехнологичном секторе акцент с этой строки баланса смещен. </w:t>
      </w:r>
      <w:r w:rsidR="004D70E9">
        <w:rPr>
          <w:rFonts w:ascii="Times New Roman" w:hAnsi="Times New Roman" w:cs="Times New Roman"/>
          <w:sz w:val="24"/>
          <w:szCs w:val="24"/>
        </w:rPr>
        <w:t>Показатель текущей ликвидности</w:t>
      </w:r>
      <w:r w:rsidR="00E378D0" w:rsidRPr="009B2CF0">
        <w:rPr>
          <w:rFonts w:ascii="Times New Roman" w:hAnsi="Times New Roman" w:cs="Times New Roman"/>
          <w:sz w:val="24"/>
          <w:szCs w:val="24"/>
        </w:rPr>
        <w:t xml:space="preserve"> характеризует</w:t>
      </w:r>
      <w:r w:rsidR="004D70E9">
        <w:rPr>
          <w:rFonts w:ascii="Times New Roman" w:hAnsi="Times New Roman" w:cs="Times New Roman"/>
          <w:sz w:val="24"/>
          <w:szCs w:val="24"/>
        </w:rPr>
        <w:t xml:space="preserve"> степень</w:t>
      </w:r>
      <w:r w:rsidR="00E378D0" w:rsidRPr="009B2CF0">
        <w:rPr>
          <w:rFonts w:ascii="Times New Roman" w:hAnsi="Times New Roman" w:cs="Times New Roman"/>
          <w:sz w:val="24"/>
          <w:szCs w:val="24"/>
        </w:rPr>
        <w:t xml:space="preserve"> обеспеченност</w:t>
      </w:r>
      <w:r w:rsidR="004D70E9">
        <w:rPr>
          <w:rFonts w:ascii="Times New Roman" w:hAnsi="Times New Roman" w:cs="Times New Roman"/>
          <w:sz w:val="24"/>
          <w:szCs w:val="24"/>
        </w:rPr>
        <w:t>и</w:t>
      </w:r>
      <w:r w:rsidR="00E378D0" w:rsidRPr="009B2CF0">
        <w:rPr>
          <w:rFonts w:ascii="Times New Roman" w:hAnsi="Times New Roman" w:cs="Times New Roman"/>
          <w:sz w:val="24"/>
          <w:szCs w:val="24"/>
        </w:rPr>
        <w:t xml:space="preserve"> организации оборотными средствами для ведения с</w:t>
      </w:r>
      <w:r w:rsidR="004D70E9">
        <w:rPr>
          <w:rFonts w:ascii="Times New Roman" w:hAnsi="Times New Roman" w:cs="Times New Roman"/>
          <w:sz w:val="24"/>
          <w:szCs w:val="24"/>
        </w:rPr>
        <w:t>во</w:t>
      </w:r>
      <w:r w:rsidR="00E378D0" w:rsidRPr="009B2CF0">
        <w:rPr>
          <w:rFonts w:ascii="Times New Roman" w:hAnsi="Times New Roman" w:cs="Times New Roman"/>
          <w:sz w:val="24"/>
          <w:szCs w:val="24"/>
        </w:rPr>
        <w:t>ей профильной деятельности и своевременного погашения всех обязательств</w:t>
      </w:r>
      <w:r w:rsidR="00E273DA" w:rsidRPr="009B2CF0">
        <w:rPr>
          <w:rFonts w:ascii="Times New Roman" w:hAnsi="Times New Roman" w:cs="Times New Roman"/>
          <w:sz w:val="24"/>
          <w:szCs w:val="24"/>
        </w:rPr>
        <w:t xml:space="preserve"> </w:t>
      </w:r>
      <w:r w:rsidR="004D70E9">
        <w:rPr>
          <w:rFonts w:ascii="Times New Roman" w:hAnsi="Times New Roman" w:cs="Times New Roman"/>
          <w:sz w:val="24"/>
          <w:szCs w:val="24"/>
        </w:rPr>
        <w:t>[10</w:t>
      </w:r>
      <w:r w:rsidR="00472BAB" w:rsidRPr="009B2CF0">
        <w:rPr>
          <w:rFonts w:ascii="Times New Roman" w:hAnsi="Times New Roman" w:cs="Times New Roman"/>
          <w:sz w:val="24"/>
          <w:szCs w:val="24"/>
        </w:rPr>
        <w:t>]</w:t>
      </w:r>
      <w:r w:rsidR="00DB64A1" w:rsidRPr="009B2CF0">
        <w:rPr>
          <w:rFonts w:ascii="Times New Roman" w:hAnsi="Times New Roman" w:cs="Times New Roman"/>
          <w:sz w:val="24"/>
          <w:szCs w:val="24"/>
        </w:rPr>
        <w:t>.</w:t>
      </w:r>
    </w:p>
    <w:p w:rsidR="000C313D" w:rsidRPr="009B2CF0" w:rsidRDefault="003243C7" w:rsidP="000B59D8">
      <w:pPr>
        <w:spacing w:after="0" w:line="360" w:lineRule="auto"/>
        <w:ind w:firstLine="567"/>
        <w:jc w:val="both"/>
        <w:rPr>
          <w:rFonts w:ascii="Times New Roman" w:hAnsi="Times New Roman" w:cs="Times New Roman"/>
          <w:sz w:val="24"/>
          <w:szCs w:val="24"/>
        </w:rPr>
      </w:pPr>
      <w:r w:rsidRPr="003243C7">
        <w:rPr>
          <w:rFonts w:ascii="Times New Roman" w:hAnsi="Times New Roman" w:cs="Times New Roman"/>
          <w:b/>
          <w:sz w:val="24"/>
          <w:szCs w:val="24"/>
        </w:rPr>
        <w:t>Выводы.</w:t>
      </w:r>
      <w:r>
        <w:rPr>
          <w:rFonts w:ascii="Times New Roman" w:hAnsi="Times New Roman" w:cs="Times New Roman"/>
          <w:sz w:val="24"/>
          <w:szCs w:val="24"/>
        </w:rPr>
        <w:t xml:space="preserve"> </w:t>
      </w:r>
      <w:r w:rsidR="0032311D" w:rsidRPr="009B2CF0">
        <w:rPr>
          <w:rFonts w:ascii="Times New Roman" w:hAnsi="Times New Roman" w:cs="Times New Roman"/>
          <w:sz w:val="24"/>
          <w:szCs w:val="24"/>
        </w:rPr>
        <w:t xml:space="preserve">Из проведенного исследования видно, что выявленная специфика высокотехнологичных компаний достаточно активно влияет на </w:t>
      </w:r>
      <w:r w:rsidR="00DB64A1" w:rsidRPr="009B2CF0">
        <w:rPr>
          <w:rFonts w:ascii="Times New Roman" w:hAnsi="Times New Roman" w:cs="Times New Roman"/>
          <w:sz w:val="24"/>
          <w:szCs w:val="24"/>
        </w:rPr>
        <w:t xml:space="preserve">используемую </w:t>
      </w:r>
      <w:r w:rsidR="0032311D" w:rsidRPr="009B2CF0">
        <w:rPr>
          <w:rFonts w:ascii="Times New Roman" w:hAnsi="Times New Roman" w:cs="Times New Roman"/>
          <w:sz w:val="24"/>
          <w:szCs w:val="24"/>
        </w:rPr>
        <w:t>модел</w:t>
      </w:r>
      <w:r w:rsidR="00DB64A1" w:rsidRPr="009B2CF0">
        <w:rPr>
          <w:rFonts w:ascii="Times New Roman" w:hAnsi="Times New Roman" w:cs="Times New Roman"/>
          <w:sz w:val="24"/>
          <w:szCs w:val="24"/>
        </w:rPr>
        <w:t>ь</w:t>
      </w:r>
      <w:r w:rsidR="0032311D" w:rsidRPr="009B2CF0">
        <w:rPr>
          <w:rFonts w:ascii="Times New Roman" w:hAnsi="Times New Roman" w:cs="Times New Roman"/>
          <w:sz w:val="24"/>
          <w:szCs w:val="24"/>
        </w:rPr>
        <w:t xml:space="preserve"> диа</w:t>
      </w:r>
      <w:r w:rsidR="00A16B87" w:rsidRPr="009B2CF0">
        <w:rPr>
          <w:rFonts w:ascii="Times New Roman" w:hAnsi="Times New Roman" w:cs="Times New Roman"/>
          <w:sz w:val="24"/>
          <w:szCs w:val="24"/>
        </w:rPr>
        <w:t xml:space="preserve">гностики риска банкротства, а также аналитику различных финансовых коэффициентов, определяющих ликвидность, рентабельность, финансовую устойчивость и иные немаловажные показатели </w:t>
      </w:r>
      <w:r w:rsidR="00DB64A1" w:rsidRPr="009B2CF0">
        <w:rPr>
          <w:rFonts w:ascii="Times New Roman" w:hAnsi="Times New Roman" w:cs="Times New Roman"/>
          <w:sz w:val="24"/>
          <w:szCs w:val="24"/>
        </w:rPr>
        <w:t xml:space="preserve">оценки </w:t>
      </w:r>
      <w:r w:rsidR="00A16B87" w:rsidRPr="009B2CF0">
        <w:rPr>
          <w:rFonts w:ascii="Times New Roman" w:hAnsi="Times New Roman" w:cs="Times New Roman"/>
          <w:sz w:val="24"/>
          <w:szCs w:val="24"/>
        </w:rPr>
        <w:t>деятельности компании.</w:t>
      </w:r>
      <w:r w:rsidR="00DB64A1" w:rsidRPr="009B2CF0">
        <w:rPr>
          <w:rFonts w:ascii="Times New Roman" w:hAnsi="Times New Roman" w:cs="Times New Roman"/>
          <w:sz w:val="24"/>
          <w:szCs w:val="24"/>
        </w:rPr>
        <w:t xml:space="preserve"> </w:t>
      </w:r>
      <w:r w:rsidR="004209F1" w:rsidRPr="009B2CF0">
        <w:rPr>
          <w:rFonts w:ascii="Times New Roman" w:hAnsi="Times New Roman" w:cs="Times New Roman"/>
          <w:sz w:val="24"/>
          <w:szCs w:val="24"/>
        </w:rPr>
        <w:t>Использование классических моделей оценки вероятности банкротства без их адаптации под отраслевую специфику может ввести менеджмент компании в заблуждени</w:t>
      </w:r>
      <w:r w:rsidR="005C712D">
        <w:rPr>
          <w:rFonts w:ascii="Times New Roman" w:hAnsi="Times New Roman" w:cs="Times New Roman"/>
          <w:sz w:val="24"/>
          <w:szCs w:val="24"/>
        </w:rPr>
        <w:t>е</w:t>
      </w:r>
      <w:r w:rsidR="004209F1" w:rsidRPr="009B2CF0">
        <w:rPr>
          <w:rFonts w:ascii="Times New Roman" w:hAnsi="Times New Roman" w:cs="Times New Roman"/>
          <w:sz w:val="24"/>
          <w:szCs w:val="24"/>
        </w:rPr>
        <w:t xml:space="preserve"> и привести к неверным управленческим решениям. </w:t>
      </w:r>
      <w:r w:rsidR="00DB64A1" w:rsidRPr="009B2CF0">
        <w:rPr>
          <w:rFonts w:ascii="Times New Roman" w:hAnsi="Times New Roman" w:cs="Times New Roman"/>
          <w:sz w:val="24"/>
          <w:szCs w:val="24"/>
        </w:rPr>
        <w:t xml:space="preserve">В связи с этим </w:t>
      </w:r>
      <w:r w:rsidR="004D70E9">
        <w:rPr>
          <w:rFonts w:ascii="Times New Roman" w:hAnsi="Times New Roman" w:cs="Times New Roman"/>
          <w:sz w:val="24"/>
          <w:szCs w:val="24"/>
        </w:rPr>
        <w:t>следует обратить особое внимание на</w:t>
      </w:r>
      <w:r w:rsidR="00A16B87" w:rsidRPr="009B2CF0">
        <w:rPr>
          <w:rFonts w:ascii="Times New Roman" w:hAnsi="Times New Roman" w:cs="Times New Roman"/>
          <w:sz w:val="24"/>
          <w:szCs w:val="24"/>
        </w:rPr>
        <w:t xml:space="preserve"> необходимость</w:t>
      </w:r>
      <w:r w:rsidR="00DB64A1" w:rsidRPr="009B2CF0">
        <w:rPr>
          <w:rFonts w:ascii="Times New Roman" w:hAnsi="Times New Roman" w:cs="Times New Roman"/>
          <w:sz w:val="24"/>
          <w:szCs w:val="24"/>
        </w:rPr>
        <w:t xml:space="preserve"> </w:t>
      </w:r>
      <w:r w:rsidR="00A16B87" w:rsidRPr="009B2CF0">
        <w:rPr>
          <w:rFonts w:ascii="Times New Roman" w:hAnsi="Times New Roman" w:cs="Times New Roman"/>
          <w:sz w:val="24"/>
          <w:szCs w:val="24"/>
        </w:rPr>
        <w:t>разработки новых моделей оценки вероятност</w:t>
      </w:r>
      <w:r w:rsidR="00DB64A1" w:rsidRPr="009B2CF0">
        <w:rPr>
          <w:rFonts w:ascii="Times New Roman" w:hAnsi="Times New Roman" w:cs="Times New Roman"/>
          <w:sz w:val="24"/>
          <w:szCs w:val="24"/>
        </w:rPr>
        <w:t>и</w:t>
      </w:r>
      <w:r w:rsidR="00F70961" w:rsidRPr="009B2CF0">
        <w:rPr>
          <w:rFonts w:ascii="Times New Roman" w:hAnsi="Times New Roman" w:cs="Times New Roman"/>
          <w:sz w:val="24"/>
          <w:szCs w:val="24"/>
        </w:rPr>
        <w:t xml:space="preserve"> банкротства и адаптации старых методик</w:t>
      </w:r>
      <w:r w:rsidR="00A16B87" w:rsidRPr="009B2CF0">
        <w:rPr>
          <w:rFonts w:ascii="Times New Roman" w:hAnsi="Times New Roman" w:cs="Times New Roman"/>
          <w:sz w:val="24"/>
          <w:szCs w:val="24"/>
        </w:rPr>
        <w:t xml:space="preserve"> балльных оценок, со смещением </w:t>
      </w:r>
      <w:r w:rsidR="000C313D" w:rsidRPr="009B2CF0">
        <w:rPr>
          <w:rFonts w:ascii="Times New Roman" w:hAnsi="Times New Roman" w:cs="Times New Roman"/>
          <w:sz w:val="24"/>
          <w:szCs w:val="24"/>
        </w:rPr>
        <w:t xml:space="preserve">весовых коэффициентов с уклона на оборотные средства в сторону нематериальных активов, </w:t>
      </w:r>
      <w:r w:rsidR="00F70961" w:rsidRPr="009B2CF0">
        <w:rPr>
          <w:rFonts w:ascii="Times New Roman" w:hAnsi="Times New Roman" w:cs="Times New Roman"/>
          <w:sz w:val="24"/>
          <w:szCs w:val="24"/>
        </w:rPr>
        <w:t>наличие которых и делае</w:t>
      </w:r>
      <w:r w:rsidR="000C313D" w:rsidRPr="009B2CF0">
        <w:rPr>
          <w:rFonts w:ascii="Times New Roman" w:hAnsi="Times New Roman" w:cs="Times New Roman"/>
          <w:sz w:val="24"/>
          <w:szCs w:val="24"/>
        </w:rPr>
        <w:t>т высокотехнологичные компании таковыми.</w:t>
      </w:r>
    </w:p>
    <w:p w:rsidR="00FD7E7E" w:rsidRPr="003243C7" w:rsidRDefault="003243C7" w:rsidP="000B59D8">
      <w:pPr>
        <w:spacing w:after="0" w:line="360" w:lineRule="auto"/>
        <w:ind w:firstLine="567"/>
        <w:jc w:val="both"/>
        <w:rPr>
          <w:rFonts w:ascii="Times New Roman" w:hAnsi="Times New Roman" w:cs="Times New Roman"/>
          <w:b/>
          <w:sz w:val="24"/>
          <w:szCs w:val="24"/>
        </w:rPr>
      </w:pPr>
      <w:r w:rsidRPr="003243C7">
        <w:rPr>
          <w:rFonts w:ascii="Times New Roman" w:hAnsi="Times New Roman" w:cs="Times New Roman"/>
          <w:b/>
          <w:sz w:val="24"/>
          <w:szCs w:val="24"/>
        </w:rPr>
        <w:t>Список литературы</w:t>
      </w:r>
    </w:p>
    <w:p w:rsidR="005519C7" w:rsidRPr="009B2CF0" w:rsidRDefault="00462B67" w:rsidP="000B59D8">
      <w:pPr>
        <w:pStyle w:val="a3"/>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Мишуткина </w:t>
      </w:r>
      <w:r w:rsidR="00296144">
        <w:rPr>
          <w:rFonts w:ascii="Times New Roman" w:hAnsi="Times New Roman" w:cs="Times New Roman"/>
          <w:sz w:val="24"/>
          <w:szCs w:val="24"/>
        </w:rPr>
        <w:t xml:space="preserve">Н.А., </w:t>
      </w:r>
      <w:r>
        <w:rPr>
          <w:rFonts w:ascii="Times New Roman" w:hAnsi="Times New Roman" w:cs="Times New Roman"/>
          <w:sz w:val="24"/>
          <w:szCs w:val="24"/>
        </w:rPr>
        <w:t xml:space="preserve">Скороход </w:t>
      </w:r>
      <w:r w:rsidR="00296144">
        <w:rPr>
          <w:rFonts w:ascii="Times New Roman" w:hAnsi="Times New Roman" w:cs="Times New Roman"/>
          <w:sz w:val="24"/>
          <w:szCs w:val="24"/>
        </w:rPr>
        <w:t>О.В. Состояние и развитие высокоте</w:t>
      </w:r>
      <w:r w:rsidR="00FA7CC5">
        <w:rPr>
          <w:rFonts w:ascii="Times New Roman" w:hAnsi="Times New Roman" w:cs="Times New Roman"/>
          <w:sz w:val="24"/>
          <w:szCs w:val="24"/>
        </w:rPr>
        <w:t>хнологичного сектора экономики.// Секция «Экономика и бизнес». Актуальные проблемы авиации и космонавтики №</w:t>
      </w:r>
      <w:r w:rsidR="005C712D">
        <w:rPr>
          <w:rFonts w:ascii="Times New Roman" w:hAnsi="Times New Roman" w:cs="Times New Roman"/>
          <w:sz w:val="24"/>
          <w:szCs w:val="24"/>
        </w:rPr>
        <w:t xml:space="preserve"> 2, 2015</w:t>
      </w:r>
      <w:r w:rsidR="00FA7CC5">
        <w:rPr>
          <w:rFonts w:ascii="Times New Roman" w:hAnsi="Times New Roman" w:cs="Times New Roman"/>
          <w:sz w:val="24"/>
          <w:szCs w:val="24"/>
        </w:rPr>
        <w:t>. С</w:t>
      </w:r>
      <w:r w:rsidR="005C712D">
        <w:rPr>
          <w:rFonts w:ascii="Times New Roman" w:hAnsi="Times New Roman" w:cs="Times New Roman"/>
          <w:sz w:val="24"/>
          <w:szCs w:val="24"/>
        </w:rPr>
        <w:t>.</w:t>
      </w:r>
      <w:r w:rsidR="00FA7CC5">
        <w:rPr>
          <w:rFonts w:ascii="Times New Roman" w:hAnsi="Times New Roman" w:cs="Times New Roman"/>
          <w:sz w:val="24"/>
          <w:szCs w:val="24"/>
        </w:rPr>
        <w:t xml:space="preserve"> 237</w:t>
      </w:r>
      <w:r w:rsidR="005C712D">
        <w:rPr>
          <w:rFonts w:ascii="Times New Roman" w:hAnsi="Times New Roman" w:cs="Times New Roman"/>
          <w:sz w:val="24"/>
          <w:szCs w:val="24"/>
        </w:rPr>
        <w:t>–</w:t>
      </w:r>
      <w:r w:rsidR="00FA7CC5">
        <w:rPr>
          <w:rFonts w:ascii="Times New Roman" w:hAnsi="Times New Roman" w:cs="Times New Roman"/>
          <w:sz w:val="24"/>
          <w:szCs w:val="24"/>
        </w:rPr>
        <w:t>239</w:t>
      </w:r>
      <w:r w:rsidR="005C712D">
        <w:rPr>
          <w:rFonts w:ascii="Times New Roman" w:hAnsi="Times New Roman" w:cs="Times New Roman"/>
          <w:sz w:val="24"/>
          <w:szCs w:val="24"/>
        </w:rPr>
        <w:t>.</w:t>
      </w:r>
      <w:r w:rsidR="00FA7CC5">
        <w:rPr>
          <w:rFonts w:ascii="Times New Roman" w:hAnsi="Times New Roman" w:cs="Times New Roman"/>
          <w:sz w:val="24"/>
          <w:szCs w:val="24"/>
        </w:rPr>
        <w:t xml:space="preserve"> </w:t>
      </w:r>
    </w:p>
    <w:p w:rsidR="002E1A54" w:rsidRDefault="005519C7" w:rsidP="002E1A54">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 xml:space="preserve"> </w:t>
      </w:r>
      <w:r w:rsidR="00D3604E">
        <w:rPr>
          <w:rFonts w:ascii="Times New Roman" w:hAnsi="Times New Roman" w:cs="Times New Roman"/>
          <w:sz w:val="24"/>
          <w:szCs w:val="24"/>
        </w:rPr>
        <w:t>Фоломьев А.Н. Высокотехнологичный сектор в инновационной трансформации экономики России // Вестник Брянского государственного университета</w:t>
      </w:r>
      <w:r w:rsidR="0073254F">
        <w:rPr>
          <w:rFonts w:ascii="Times New Roman" w:hAnsi="Times New Roman" w:cs="Times New Roman"/>
          <w:sz w:val="24"/>
          <w:szCs w:val="24"/>
        </w:rPr>
        <w:t>. №</w:t>
      </w:r>
      <w:r w:rsidR="005C712D">
        <w:rPr>
          <w:rFonts w:ascii="Times New Roman" w:hAnsi="Times New Roman" w:cs="Times New Roman"/>
          <w:sz w:val="24"/>
          <w:szCs w:val="24"/>
        </w:rPr>
        <w:t xml:space="preserve"> </w:t>
      </w:r>
      <w:r w:rsidR="0073254F">
        <w:rPr>
          <w:rFonts w:ascii="Times New Roman" w:hAnsi="Times New Roman" w:cs="Times New Roman"/>
          <w:sz w:val="24"/>
          <w:szCs w:val="24"/>
        </w:rPr>
        <w:t>3-1. 2012. С. 46</w:t>
      </w:r>
      <w:r w:rsidR="005C712D">
        <w:rPr>
          <w:rFonts w:ascii="Times New Roman" w:hAnsi="Times New Roman" w:cs="Times New Roman"/>
          <w:sz w:val="24"/>
          <w:szCs w:val="24"/>
        </w:rPr>
        <w:t>–</w:t>
      </w:r>
      <w:r w:rsidR="0073254F">
        <w:rPr>
          <w:rFonts w:ascii="Times New Roman" w:hAnsi="Times New Roman" w:cs="Times New Roman"/>
          <w:sz w:val="24"/>
          <w:szCs w:val="24"/>
        </w:rPr>
        <w:t>51</w:t>
      </w:r>
      <w:r w:rsidR="005C712D">
        <w:rPr>
          <w:rFonts w:ascii="Times New Roman" w:hAnsi="Times New Roman" w:cs="Times New Roman"/>
          <w:sz w:val="24"/>
          <w:szCs w:val="24"/>
        </w:rPr>
        <w:t>.</w:t>
      </w:r>
    </w:p>
    <w:p w:rsidR="002E1A54" w:rsidRPr="002E1A54" w:rsidRDefault="002E1A54" w:rsidP="002E1A54">
      <w:pPr>
        <w:pStyle w:val="a3"/>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Анискина А.О. Анализ основных характеристик и особенностей финансирования высокотехнологичных компаний //Инженерные инновации и экономика промышленности: труды научно-практической конференции с международным участием, 2015. Издательство </w:t>
      </w:r>
      <w:r>
        <w:rPr>
          <w:rFonts w:ascii="Times New Roman" w:hAnsi="Times New Roman" w:cs="Times New Roman"/>
          <w:sz w:val="24"/>
          <w:szCs w:val="24"/>
        </w:rPr>
        <w:lastRenderedPageBreak/>
        <w:t>ФГАОУ ВО «Санкт-Петербургский политехнический университет Петра Великого»</w:t>
      </w:r>
      <w:r w:rsidR="005C712D">
        <w:rPr>
          <w:rFonts w:ascii="Times New Roman" w:hAnsi="Times New Roman" w:cs="Times New Roman"/>
          <w:sz w:val="24"/>
          <w:szCs w:val="24"/>
        </w:rPr>
        <w:t>.</w:t>
      </w:r>
      <w:r>
        <w:rPr>
          <w:rFonts w:ascii="Times New Roman" w:hAnsi="Times New Roman" w:cs="Times New Roman"/>
          <w:sz w:val="24"/>
          <w:szCs w:val="24"/>
        </w:rPr>
        <w:t xml:space="preserve"> С. 334</w:t>
      </w:r>
      <w:r w:rsidR="005C712D">
        <w:rPr>
          <w:rFonts w:ascii="Times New Roman" w:hAnsi="Times New Roman" w:cs="Times New Roman"/>
          <w:sz w:val="24"/>
          <w:szCs w:val="24"/>
        </w:rPr>
        <w:t>–</w:t>
      </w:r>
      <w:r>
        <w:rPr>
          <w:rFonts w:ascii="Times New Roman" w:hAnsi="Times New Roman" w:cs="Times New Roman"/>
          <w:sz w:val="24"/>
          <w:szCs w:val="24"/>
        </w:rPr>
        <w:t>338</w:t>
      </w:r>
      <w:r w:rsidR="005C712D">
        <w:rPr>
          <w:rFonts w:ascii="Times New Roman" w:hAnsi="Times New Roman" w:cs="Times New Roman"/>
          <w:sz w:val="24"/>
          <w:szCs w:val="24"/>
        </w:rPr>
        <w:t>.</w:t>
      </w:r>
    </w:p>
    <w:p w:rsidR="005519C7" w:rsidRPr="009B2CF0" w:rsidRDefault="005519C7" w:rsidP="000B59D8">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Гаврило</w:t>
      </w:r>
      <w:r w:rsidR="000875B9" w:rsidRPr="009B2CF0">
        <w:rPr>
          <w:rFonts w:ascii="Times New Roman" w:hAnsi="Times New Roman" w:cs="Times New Roman"/>
          <w:sz w:val="24"/>
          <w:szCs w:val="24"/>
        </w:rPr>
        <w:t>ва С.В. Концептуальные основы определения высокотехнологичного сектора экономики и функционирования высокотехнологичных компаний</w:t>
      </w:r>
      <w:r w:rsidR="005C712D">
        <w:rPr>
          <w:rFonts w:ascii="Times New Roman" w:hAnsi="Times New Roman" w:cs="Times New Roman"/>
          <w:sz w:val="24"/>
          <w:szCs w:val="24"/>
        </w:rPr>
        <w:t xml:space="preserve"> </w:t>
      </w:r>
      <w:r w:rsidR="00E273DA" w:rsidRPr="009B2CF0">
        <w:rPr>
          <w:rFonts w:ascii="Times New Roman" w:hAnsi="Times New Roman" w:cs="Times New Roman"/>
          <w:sz w:val="24"/>
          <w:szCs w:val="24"/>
        </w:rPr>
        <w:t>//</w:t>
      </w:r>
      <w:r w:rsidRPr="009B2CF0">
        <w:rPr>
          <w:rFonts w:ascii="Times New Roman" w:hAnsi="Times New Roman" w:cs="Times New Roman"/>
          <w:sz w:val="24"/>
          <w:szCs w:val="24"/>
        </w:rPr>
        <w:t xml:space="preserve"> </w:t>
      </w:r>
      <w:r w:rsidR="006932CD" w:rsidRPr="009B2CF0">
        <w:rPr>
          <w:rFonts w:ascii="Times New Roman" w:hAnsi="Times New Roman" w:cs="Times New Roman"/>
          <w:sz w:val="24"/>
          <w:szCs w:val="24"/>
        </w:rPr>
        <w:t>Экономика, Статистика и Информатика</w:t>
      </w:r>
      <w:r w:rsidR="005C712D">
        <w:rPr>
          <w:rFonts w:ascii="Times New Roman" w:hAnsi="Times New Roman" w:cs="Times New Roman"/>
          <w:sz w:val="24"/>
          <w:szCs w:val="24"/>
        </w:rPr>
        <w:t>.</w:t>
      </w:r>
      <w:r w:rsidR="006932CD" w:rsidRPr="009B2CF0">
        <w:rPr>
          <w:rFonts w:ascii="Times New Roman" w:hAnsi="Times New Roman" w:cs="Times New Roman"/>
          <w:sz w:val="24"/>
          <w:szCs w:val="24"/>
        </w:rPr>
        <w:t xml:space="preserve"> №</w:t>
      </w:r>
      <w:r w:rsidR="005C712D">
        <w:rPr>
          <w:rFonts w:ascii="Times New Roman" w:hAnsi="Times New Roman" w:cs="Times New Roman"/>
          <w:sz w:val="24"/>
          <w:szCs w:val="24"/>
        </w:rPr>
        <w:t xml:space="preserve"> </w:t>
      </w:r>
      <w:r w:rsidR="006932CD" w:rsidRPr="009B2CF0">
        <w:rPr>
          <w:rFonts w:ascii="Times New Roman" w:hAnsi="Times New Roman" w:cs="Times New Roman"/>
          <w:sz w:val="24"/>
          <w:szCs w:val="24"/>
        </w:rPr>
        <w:t>2</w:t>
      </w:r>
      <w:r w:rsidR="005C712D">
        <w:rPr>
          <w:rFonts w:ascii="Times New Roman" w:hAnsi="Times New Roman" w:cs="Times New Roman"/>
          <w:sz w:val="24"/>
          <w:szCs w:val="24"/>
        </w:rPr>
        <w:t>.</w:t>
      </w:r>
      <w:r w:rsidR="006932CD" w:rsidRPr="009B2CF0">
        <w:rPr>
          <w:rFonts w:ascii="Times New Roman" w:hAnsi="Times New Roman" w:cs="Times New Roman"/>
          <w:sz w:val="24"/>
          <w:szCs w:val="24"/>
        </w:rPr>
        <w:t xml:space="preserve"> 2014</w:t>
      </w:r>
      <w:r w:rsidR="005C712D">
        <w:rPr>
          <w:rFonts w:ascii="Times New Roman" w:hAnsi="Times New Roman" w:cs="Times New Roman"/>
          <w:sz w:val="24"/>
          <w:szCs w:val="24"/>
        </w:rPr>
        <w:t>.</w:t>
      </w:r>
      <w:r w:rsidR="006932CD" w:rsidRPr="009B2CF0">
        <w:rPr>
          <w:rFonts w:ascii="Times New Roman" w:hAnsi="Times New Roman" w:cs="Times New Roman"/>
          <w:sz w:val="24"/>
          <w:szCs w:val="24"/>
        </w:rPr>
        <w:t xml:space="preserve"> С</w:t>
      </w:r>
      <w:r w:rsidR="005C712D">
        <w:rPr>
          <w:rFonts w:ascii="Times New Roman" w:hAnsi="Times New Roman" w:cs="Times New Roman"/>
          <w:sz w:val="24"/>
          <w:szCs w:val="24"/>
        </w:rPr>
        <w:t>.</w:t>
      </w:r>
      <w:r w:rsidR="006932CD" w:rsidRPr="009B2CF0">
        <w:rPr>
          <w:rFonts w:ascii="Times New Roman" w:hAnsi="Times New Roman" w:cs="Times New Roman"/>
          <w:sz w:val="24"/>
          <w:szCs w:val="24"/>
        </w:rPr>
        <w:t xml:space="preserve"> 53</w:t>
      </w:r>
      <w:r w:rsidR="005C712D">
        <w:rPr>
          <w:rFonts w:ascii="Times New Roman" w:hAnsi="Times New Roman" w:cs="Times New Roman"/>
          <w:sz w:val="24"/>
          <w:szCs w:val="24"/>
        </w:rPr>
        <w:t>–</w:t>
      </w:r>
      <w:r w:rsidR="006932CD" w:rsidRPr="009B2CF0">
        <w:rPr>
          <w:rFonts w:ascii="Times New Roman" w:hAnsi="Times New Roman" w:cs="Times New Roman"/>
          <w:sz w:val="24"/>
          <w:szCs w:val="24"/>
        </w:rPr>
        <w:t>57.</w:t>
      </w:r>
    </w:p>
    <w:p w:rsidR="001F2EE8" w:rsidRPr="009B2CF0" w:rsidRDefault="001F2EE8" w:rsidP="000B59D8">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Востриков В.С. Высокотехнологичные компании как фактор стратегического развития отечественной экономики.</w:t>
      </w:r>
      <w:r w:rsidR="004209F1" w:rsidRPr="009B2CF0">
        <w:rPr>
          <w:rFonts w:ascii="Times New Roman" w:hAnsi="Times New Roman" w:cs="Times New Roman"/>
          <w:sz w:val="24"/>
          <w:szCs w:val="24"/>
        </w:rPr>
        <w:t>//</w:t>
      </w:r>
      <w:r w:rsidRPr="009B2CF0">
        <w:rPr>
          <w:rFonts w:ascii="Times New Roman" w:hAnsi="Times New Roman" w:cs="Times New Roman"/>
          <w:sz w:val="24"/>
          <w:szCs w:val="24"/>
        </w:rPr>
        <w:t xml:space="preserve"> Креативная экономика. 2015. С. 473</w:t>
      </w:r>
      <w:r w:rsidR="005C712D">
        <w:rPr>
          <w:rFonts w:ascii="Times New Roman" w:hAnsi="Times New Roman" w:cs="Times New Roman"/>
          <w:sz w:val="24"/>
          <w:szCs w:val="24"/>
        </w:rPr>
        <w:t>–</w:t>
      </w:r>
      <w:r w:rsidRPr="009B2CF0">
        <w:rPr>
          <w:rFonts w:ascii="Times New Roman" w:hAnsi="Times New Roman" w:cs="Times New Roman"/>
          <w:sz w:val="24"/>
          <w:szCs w:val="24"/>
        </w:rPr>
        <w:t>484</w:t>
      </w:r>
      <w:r w:rsidR="005C712D">
        <w:rPr>
          <w:rFonts w:ascii="Times New Roman" w:hAnsi="Times New Roman" w:cs="Times New Roman"/>
          <w:sz w:val="24"/>
          <w:szCs w:val="24"/>
        </w:rPr>
        <w:t>.</w:t>
      </w:r>
    </w:p>
    <w:p w:rsidR="001F2EE8" w:rsidRPr="009B2CF0" w:rsidRDefault="00DB64A1" w:rsidP="000B59D8">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 xml:space="preserve">Игнатов </w:t>
      </w:r>
      <w:r w:rsidR="001F2EE8" w:rsidRPr="009B2CF0">
        <w:rPr>
          <w:rFonts w:ascii="Times New Roman" w:hAnsi="Times New Roman" w:cs="Times New Roman"/>
          <w:sz w:val="24"/>
          <w:szCs w:val="24"/>
        </w:rPr>
        <w:t>Е.В. Специфические особенности высокотехнологических компаний как объекта оценки в условиях инновационной экономики</w:t>
      </w:r>
      <w:r w:rsidR="003C7B07">
        <w:rPr>
          <w:rFonts w:ascii="Times New Roman" w:hAnsi="Times New Roman" w:cs="Times New Roman"/>
          <w:sz w:val="24"/>
          <w:szCs w:val="24"/>
        </w:rPr>
        <w:t xml:space="preserve"> </w:t>
      </w:r>
      <w:r w:rsidR="004209F1" w:rsidRPr="009B2CF0">
        <w:rPr>
          <w:rFonts w:ascii="Times New Roman" w:hAnsi="Times New Roman" w:cs="Times New Roman"/>
          <w:sz w:val="24"/>
          <w:szCs w:val="24"/>
        </w:rPr>
        <w:t>//</w:t>
      </w:r>
      <w:r w:rsidR="001F2EE8" w:rsidRPr="009B2CF0">
        <w:rPr>
          <w:rFonts w:ascii="Times New Roman" w:hAnsi="Times New Roman" w:cs="Times New Roman"/>
          <w:sz w:val="24"/>
          <w:szCs w:val="24"/>
        </w:rPr>
        <w:t xml:space="preserve"> Вестник ТГУ. 2008</w:t>
      </w:r>
      <w:r w:rsidR="003C7B07">
        <w:rPr>
          <w:rFonts w:ascii="Times New Roman" w:hAnsi="Times New Roman" w:cs="Times New Roman"/>
          <w:sz w:val="24"/>
          <w:szCs w:val="24"/>
        </w:rPr>
        <w:t>.</w:t>
      </w:r>
      <w:r w:rsidR="001F2EE8" w:rsidRPr="009B2CF0">
        <w:rPr>
          <w:rFonts w:ascii="Times New Roman" w:hAnsi="Times New Roman" w:cs="Times New Roman"/>
          <w:sz w:val="24"/>
          <w:szCs w:val="24"/>
        </w:rPr>
        <w:t xml:space="preserve"> С</w:t>
      </w:r>
      <w:r w:rsidR="00953B5E" w:rsidRPr="009B2CF0">
        <w:rPr>
          <w:rFonts w:ascii="Times New Roman" w:hAnsi="Times New Roman" w:cs="Times New Roman"/>
          <w:sz w:val="24"/>
          <w:szCs w:val="24"/>
        </w:rPr>
        <w:t>.</w:t>
      </w:r>
      <w:r w:rsidR="001F2EE8" w:rsidRPr="009B2CF0">
        <w:rPr>
          <w:rFonts w:ascii="Times New Roman" w:hAnsi="Times New Roman" w:cs="Times New Roman"/>
          <w:sz w:val="24"/>
          <w:szCs w:val="24"/>
        </w:rPr>
        <w:t xml:space="preserve"> 444</w:t>
      </w:r>
      <w:r w:rsidR="003C7B07">
        <w:rPr>
          <w:rFonts w:ascii="Times New Roman" w:hAnsi="Times New Roman" w:cs="Times New Roman"/>
          <w:sz w:val="24"/>
          <w:szCs w:val="24"/>
        </w:rPr>
        <w:t>–</w:t>
      </w:r>
      <w:r w:rsidR="001F2EE8" w:rsidRPr="009B2CF0">
        <w:rPr>
          <w:rFonts w:ascii="Times New Roman" w:hAnsi="Times New Roman" w:cs="Times New Roman"/>
          <w:sz w:val="24"/>
          <w:szCs w:val="24"/>
        </w:rPr>
        <w:t xml:space="preserve">446. </w:t>
      </w:r>
    </w:p>
    <w:p w:rsidR="00487FBF" w:rsidRPr="009B2CF0" w:rsidRDefault="00487FBF" w:rsidP="000B59D8">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Антикризисное управлени</w:t>
      </w:r>
      <w:r w:rsidR="004209F1" w:rsidRPr="009B2CF0">
        <w:rPr>
          <w:rFonts w:ascii="Times New Roman" w:hAnsi="Times New Roman" w:cs="Times New Roman"/>
          <w:sz w:val="24"/>
          <w:szCs w:val="24"/>
        </w:rPr>
        <w:t>е: теория и практика</w:t>
      </w:r>
      <w:r w:rsidR="003C7B07">
        <w:rPr>
          <w:rFonts w:ascii="Times New Roman" w:hAnsi="Times New Roman" w:cs="Times New Roman"/>
          <w:sz w:val="24"/>
          <w:szCs w:val="24"/>
        </w:rPr>
        <w:t>.</w:t>
      </w:r>
      <w:r w:rsidR="004209F1" w:rsidRPr="009B2CF0">
        <w:rPr>
          <w:rFonts w:ascii="Times New Roman" w:hAnsi="Times New Roman" w:cs="Times New Roman"/>
          <w:sz w:val="24"/>
          <w:szCs w:val="24"/>
        </w:rPr>
        <w:t xml:space="preserve"> </w:t>
      </w:r>
      <w:r w:rsidR="003C7B07">
        <w:rPr>
          <w:rFonts w:ascii="Times New Roman" w:hAnsi="Times New Roman" w:cs="Times New Roman"/>
          <w:sz w:val="24"/>
          <w:szCs w:val="24"/>
        </w:rPr>
        <w:t>У</w:t>
      </w:r>
      <w:r w:rsidR="004209F1" w:rsidRPr="009B2CF0">
        <w:rPr>
          <w:rFonts w:ascii="Times New Roman" w:hAnsi="Times New Roman" w:cs="Times New Roman"/>
          <w:sz w:val="24"/>
          <w:szCs w:val="24"/>
        </w:rPr>
        <w:t>чебник</w:t>
      </w:r>
      <w:r w:rsidR="003C7B07">
        <w:rPr>
          <w:rFonts w:ascii="Times New Roman" w:hAnsi="Times New Roman" w:cs="Times New Roman"/>
          <w:sz w:val="24"/>
          <w:szCs w:val="24"/>
        </w:rPr>
        <w:t>:</w:t>
      </w:r>
      <w:r w:rsidR="004209F1" w:rsidRPr="009B2CF0">
        <w:rPr>
          <w:rFonts w:ascii="Times New Roman" w:hAnsi="Times New Roman" w:cs="Times New Roman"/>
          <w:sz w:val="24"/>
          <w:szCs w:val="24"/>
        </w:rPr>
        <w:t xml:space="preserve"> </w:t>
      </w:r>
      <w:r w:rsidRPr="009B2CF0">
        <w:rPr>
          <w:rFonts w:ascii="Times New Roman" w:hAnsi="Times New Roman" w:cs="Times New Roman"/>
          <w:sz w:val="24"/>
          <w:szCs w:val="24"/>
        </w:rPr>
        <w:t>коллектив авторов</w:t>
      </w:r>
      <w:r w:rsidR="003C7B07">
        <w:rPr>
          <w:rFonts w:ascii="Times New Roman" w:hAnsi="Times New Roman" w:cs="Times New Roman"/>
          <w:sz w:val="24"/>
          <w:szCs w:val="24"/>
        </w:rPr>
        <w:t>,</w:t>
      </w:r>
      <w:r w:rsidRPr="009B2CF0">
        <w:rPr>
          <w:rFonts w:ascii="Times New Roman" w:hAnsi="Times New Roman" w:cs="Times New Roman"/>
          <w:sz w:val="24"/>
          <w:szCs w:val="24"/>
        </w:rPr>
        <w:t xml:space="preserve"> под ред. А.Н. Ряховской, С.Е. Кована</w:t>
      </w:r>
      <w:r w:rsidR="004209F1" w:rsidRPr="009B2CF0">
        <w:rPr>
          <w:rFonts w:ascii="Times New Roman" w:hAnsi="Times New Roman" w:cs="Times New Roman"/>
          <w:sz w:val="24"/>
          <w:szCs w:val="24"/>
        </w:rPr>
        <w:t xml:space="preserve"> //</w:t>
      </w:r>
      <w:r w:rsidR="003C7B07">
        <w:rPr>
          <w:rFonts w:ascii="Times New Roman" w:hAnsi="Times New Roman" w:cs="Times New Roman"/>
          <w:sz w:val="24"/>
          <w:szCs w:val="24"/>
        </w:rPr>
        <w:t xml:space="preserve"> </w:t>
      </w:r>
      <w:r w:rsidR="00953B5E" w:rsidRPr="009B2CF0">
        <w:rPr>
          <w:rFonts w:ascii="Times New Roman" w:hAnsi="Times New Roman" w:cs="Times New Roman"/>
          <w:sz w:val="24"/>
          <w:szCs w:val="24"/>
        </w:rPr>
        <w:t>Москва: КНОРУС</w:t>
      </w:r>
      <w:r w:rsidR="003C7B07">
        <w:rPr>
          <w:rFonts w:ascii="Times New Roman" w:hAnsi="Times New Roman" w:cs="Times New Roman"/>
          <w:sz w:val="24"/>
          <w:szCs w:val="24"/>
        </w:rPr>
        <w:t>.</w:t>
      </w:r>
      <w:r w:rsidR="00953B5E" w:rsidRPr="009B2CF0">
        <w:rPr>
          <w:rFonts w:ascii="Times New Roman" w:hAnsi="Times New Roman" w:cs="Times New Roman"/>
          <w:sz w:val="24"/>
          <w:szCs w:val="24"/>
        </w:rPr>
        <w:t xml:space="preserve"> 2018.</w:t>
      </w:r>
      <w:r w:rsidR="003C7B07">
        <w:rPr>
          <w:rFonts w:ascii="Times New Roman" w:hAnsi="Times New Roman" w:cs="Times New Roman"/>
          <w:sz w:val="24"/>
          <w:szCs w:val="24"/>
        </w:rPr>
        <w:t xml:space="preserve"> </w:t>
      </w:r>
      <w:r w:rsidR="00953B5E" w:rsidRPr="009B2CF0">
        <w:rPr>
          <w:rFonts w:ascii="Times New Roman" w:hAnsi="Times New Roman" w:cs="Times New Roman"/>
          <w:sz w:val="24"/>
          <w:szCs w:val="24"/>
        </w:rPr>
        <w:t>378</w:t>
      </w:r>
      <w:r w:rsidR="003C7B07">
        <w:rPr>
          <w:rFonts w:ascii="Times New Roman" w:hAnsi="Times New Roman" w:cs="Times New Roman"/>
          <w:sz w:val="24"/>
          <w:szCs w:val="24"/>
        </w:rPr>
        <w:t xml:space="preserve"> </w:t>
      </w:r>
      <w:r w:rsidR="00953B5E" w:rsidRPr="009B2CF0">
        <w:rPr>
          <w:rFonts w:ascii="Times New Roman" w:hAnsi="Times New Roman" w:cs="Times New Roman"/>
          <w:sz w:val="24"/>
          <w:szCs w:val="24"/>
        </w:rPr>
        <w:t>с.</w:t>
      </w:r>
    </w:p>
    <w:p w:rsidR="000875B9" w:rsidRPr="009B2CF0" w:rsidRDefault="000875B9" w:rsidP="000B59D8">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Нестерова</w:t>
      </w:r>
      <w:r w:rsidR="00DB64A1" w:rsidRPr="009B2CF0">
        <w:rPr>
          <w:rFonts w:ascii="Times New Roman" w:hAnsi="Times New Roman" w:cs="Times New Roman"/>
          <w:sz w:val="24"/>
          <w:szCs w:val="24"/>
        </w:rPr>
        <w:t xml:space="preserve"> С.И.</w:t>
      </w:r>
      <w:r w:rsidRPr="009B2CF0">
        <w:rPr>
          <w:rFonts w:ascii="Times New Roman" w:hAnsi="Times New Roman" w:cs="Times New Roman"/>
          <w:sz w:val="24"/>
          <w:szCs w:val="24"/>
        </w:rPr>
        <w:t>, Харитонов</w:t>
      </w:r>
      <w:r w:rsidR="00DB64A1" w:rsidRPr="009B2CF0">
        <w:rPr>
          <w:rFonts w:ascii="Times New Roman" w:hAnsi="Times New Roman" w:cs="Times New Roman"/>
          <w:sz w:val="24"/>
          <w:szCs w:val="24"/>
        </w:rPr>
        <w:t xml:space="preserve"> В.К.</w:t>
      </w:r>
      <w:r w:rsidRPr="009B2CF0">
        <w:rPr>
          <w:rFonts w:ascii="Times New Roman" w:hAnsi="Times New Roman" w:cs="Times New Roman"/>
          <w:sz w:val="24"/>
          <w:szCs w:val="24"/>
        </w:rPr>
        <w:t xml:space="preserve">. Спектр-балльный анализ финансового состояния организации. </w:t>
      </w:r>
      <w:r w:rsidR="00DE2A03" w:rsidRPr="009B2CF0">
        <w:rPr>
          <w:rFonts w:ascii="Times New Roman" w:hAnsi="Times New Roman" w:cs="Times New Roman"/>
          <w:sz w:val="24"/>
          <w:szCs w:val="24"/>
        </w:rPr>
        <w:t xml:space="preserve">//Сборник статей </w:t>
      </w:r>
      <w:r w:rsidRPr="009B2CF0">
        <w:rPr>
          <w:rFonts w:ascii="Times New Roman" w:hAnsi="Times New Roman" w:cs="Times New Roman"/>
          <w:sz w:val="24"/>
          <w:szCs w:val="24"/>
        </w:rPr>
        <w:t xml:space="preserve">VIII </w:t>
      </w:r>
      <w:r w:rsidR="00DE2A03" w:rsidRPr="009B2CF0">
        <w:rPr>
          <w:rFonts w:ascii="Times New Roman" w:hAnsi="Times New Roman" w:cs="Times New Roman"/>
          <w:sz w:val="24"/>
          <w:szCs w:val="24"/>
        </w:rPr>
        <w:t>Международной</w:t>
      </w:r>
      <w:r w:rsidRPr="009B2CF0">
        <w:rPr>
          <w:rFonts w:ascii="Times New Roman" w:hAnsi="Times New Roman" w:cs="Times New Roman"/>
          <w:sz w:val="24"/>
          <w:szCs w:val="24"/>
        </w:rPr>
        <w:t xml:space="preserve"> научно-практическ</w:t>
      </w:r>
      <w:r w:rsidR="00DE2A03" w:rsidRPr="009B2CF0">
        <w:rPr>
          <w:rFonts w:ascii="Times New Roman" w:hAnsi="Times New Roman" w:cs="Times New Roman"/>
          <w:sz w:val="24"/>
          <w:szCs w:val="24"/>
        </w:rPr>
        <w:t>ой</w:t>
      </w:r>
      <w:r w:rsidRPr="009B2CF0">
        <w:rPr>
          <w:rFonts w:ascii="Times New Roman" w:hAnsi="Times New Roman" w:cs="Times New Roman"/>
          <w:sz w:val="24"/>
          <w:szCs w:val="24"/>
        </w:rPr>
        <w:t xml:space="preserve"> конференц</w:t>
      </w:r>
      <w:r w:rsidR="00DE2A03" w:rsidRPr="009B2CF0">
        <w:rPr>
          <w:rFonts w:ascii="Times New Roman" w:hAnsi="Times New Roman" w:cs="Times New Roman"/>
          <w:sz w:val="24"/>
          <w:szCs w:val="24"/>
        </w:rPr>
        <w:t>и</w:t>
      </w:r>
      <w:r w:rsidRPr="009B2CF0">
        <w:rPr>
          <w:rFonts w:ascii="Times New Roman" w:hAnsi="Times New Roman" w:cs="Times New Roman"/>
          <w:sz w:val="24"/>
          <w:szCs w:val="24"/>
        </w:rPr>
        <w:t>и «Современные тенденции и инновации в науке и производстве»</w:t>
      </w:r>
      <w:r w:rsidR="003C7B07">
        <w:rPr>
          <w:rFonts w:ascii="Times New Roman" w:hAnsi="Times New Roman" w:cs="Times New Roman"/>
          <w:sz w:val="24"/>
          <w:szCs w:val="24"/>
        </w:rPr>
        <w:t>.</w:t>
      </w:r>
      <w:r w:rsidRPr="009B2CF0">
        <w:rPr>
          <w:rFonts w:ascii="Times New Roman" w:hAnsi="Times New Roman" w:cs="Times New Roman"/>
          <w:sz w:val="24"/>
          <w:szCs w:val="24"/>
        </w:rPr>
        <w:t xml:space="preserve"> 03</w:t>
      </w:r>
      <w:r w:rsidR="003C7B07">
        <w:rPr>
          <w:rFonts w:ascii="Times New Roman" w:hAnsi="Times New Roman" w:cs="Times New Roman"/>
          <w:sz w:val="24"/>
          <w:szCs w:val="24"/>
        </w:rPr>
        <w:t>–</w:t>
      </w:r>
      <w:r w:rsidRPr="009B2CF0">
        <w:rPr>
          <w:rFonts w:ascii="Times New Roman" w:hAnsi="Times New Roman" w:cs="Times New Roman"/>
          <w:sz w:val="24"/>
          <w:szCs w:val="24"/>
        </w:rPr>
        <w:t>04 апреля</w:t>
      </w:r>
      <w:r w:rsidR="003C7B07">
        <w:rPr>
          <w:rFonts w:ascii="Times New Roman" w:hAnsi="Times New Roman" w:cs="Times New Roman"/>
          <w:sz w:val="24"/>
          <w:szCs w:val="24"/>
        </w:rPr>
        <w:t>.</w:t>
      </w:r>
      <w:r w:rsidRPr="009B2CF0">
        <w:rPr>
          <w:rFonts w:ascii="Times New Roman" w:hAnsi="Times New Roman" w:cs="Times New Roman"/>
          <w:sz w:val="24"/>
          <w:szCs w:val="24"/>
        </w:rPr>
        <w:t xml:space="preserve"> </w:t>
      </w:r>
      <w:r w:rsidR="00DE2A03" w:rsidRPr="009B2CF0">
        <w:rPr>
          <w:rFonts w:ascii="Times New Roman" w:hAnsi="Times New Roman" w:cs="Times New Roman"/>
          <w:sz w:val="24"/>
          <w:szCs w:val="24"/>
        </w:rPr>
        <w:t xml:space="preserve">М. </w:t>
      </w:r>
      <w:r w:rsidRPr="009B2CF0">
        <w:rPr>
          <w:rFonts w:ascii="Times New Roman" w:hAnsi="Times New Roman" w:cs="Times New Roman"/>
          <w:sz w:val="24"/>
          <w:szCs w:val="24"/>
        </w:rPr>
        <w:t>2019</w:t>
      </w:r>
      <w:r w:rsidR="00DE2A03" w:rsidRPr="009B2CF0">
        <w:rPr>
          <w:rFonts w:ascii="Times New Roman" w:hAnsi="Times New Roman" w:cs="Times New Roman"/>
          <w:sz w:val="24"/>
          <w:szCs w:val="24"/>
        </w:rPr>
        <w:t>. С</w:t>
      </w:r>
      <w:r w:rsidR="003243C7">
        <w:rPr>
          <w:rFonts w:ascii="Times New Roman" w:hAnsi="Times New Roman" w:cs="Times New Roman"/>
          <w:sz w:val="24"/>
          <w:szCs w:val="24"/>
        </w:rPr>
        <w:t>.</w:t>
      </w:r>
      <w:r w:rsidR="00DE2A03" w:rsidRPr="009B2CF0">
        <w:rPr>
          <w:rFonts w:ascii="Times New Roman" w:hAnsi="Times New Roman" w:cs="Times New Roman"/>
          <w:sz w:val="24"/>
          <w:szCs w:val="24"/>
        </w:rPr>
        <w:t xml:space="preserve"> </w:t>
      </w:r>
      <w:r w:rsidR="003243C7">
        <w:rPr>
          <w:rFonts w:ascii="Times New Roman" w:hAnsi="Times New Roman" w:cs="Times New Roman"/>
          <w:sz w:val="24"/>
          <w:szCs w:val="24"/>
        </w:rPr>
        <w:t>220</w:t>
      </w:r>
      <w:r w:rsidR="003C7B07">
        <w:rPr>
          <w:rFonts w:ascii="Times New Roman" w:hAnsi="Times New Roman" w:cs="Times New Roman"/>
          <w:sz w:val="24"/>
          <w:szCs w:val="24"/>
        </w:rPr>
        <w:t>–</w:t>
      </w:r>
      <w:r w:rsidR="00DE2A03" w:rsidRPr="009B2CF0">
        <w:rPr>
          <w:rFonts w:ascii="Times New Roman" w:hAnsi="Times New Roman" w:cs="Times New Roman"/>
          <w:sz w:val="24"/>
          <w:szCs w:val="24"/>
        </w:rPr>
        <w:t>2</w:t>
      </w:r>
      <w:r w:rsidR="003243C7">
        <w:rPr>
          <w:rFonts w:ascii="Times New Roman" w:hAnsi="Times New Roman" w:cs="Times New Roman"/>
          <w:sz w:val="24"/>
          <w:szCs w:val="24"/>
        </w:rPr>
        <w:t>2</w:t>
      </w:r>
      <w:r w:rsidR="00DE2A03" w:rsidRPr="009B2CF0">
        <w:rPr>
          <w:rFonts w:ascii="Times New Roman" w:hAnsi="Times New Roman" w:cs="Times New Roman"/>
          <w:sz w:val="24"/>
          <w:szCs w:val="24"/>
        </w:rPr>
        <w:t>8</w:t>
      </w:r>
      <w:r w:rsidR="003C7B07">
        <w:rPr>
          <w:rFonts w:ascii="Times New Roman" w:hAnsi="Times New Roman" w:cs="Times New Roman"/>
          <w:sz w:val="24"/>
          <w:szCs w:val="24"/>
        </w:rPr>
        <w:t>.</w:t>
      </w:r>
    </w:p>
    <w:p w:rsidR="00CA1B7A" w:rsidRPr="009B2CF0" w:rsidRDefault="00DE2A03" w:rsidP="00CA1B7A">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sz w:val="24"/>
          <w:szCs w:val="24"/>
        </w:rPr>
        <w:t xml:space="preserve">Суханова И.Г. </w:t>
      </w:r>
      <w:r w:rsidR="00CA1B7A" w:rsidRPr="009B2CF0">
        <w:rPr>
          <w:rFonts w:ascii="Times New Roman" w:hAnsi="Times New Roman" w:cs="Times New Roman"/>
          <w:sz w:val="24"/>
          <w:szCs w:val="24"/>
        </w:rPr>
        <w:t>Специфика деятельности высокотехнологичных комп</w:t>
      </w:r>
      <w:r w:rsidRPr="009B2CF0">
        <w:rPr>
          <w:rFonts w:ascii="Times New Roman" w:hAnsi="Times New Roman" w:cs="Times New Roman"/>
          <w:sz w:val="24"/>
          <w:szCs w:val="24"/>
        </w:rPr>
        <w:t>аний в российской экономике. //</w:t>
      </w:r>
      <w:r w:rsidR="00CA1B7A" w:rsidRPr="009B2CF0">
        <w:rPr>
          <w:rFonts w:ascii="Times New Roman" w:hAnsi="Times New Roman" w:cs="Times New Roman"/>
          <w:sz w:val="24"/>
          <w:szCs w:val="24"/>
        </w:rPr>
        <w:t xml:space="preserve"> Экономика, управление и финансы: современные подходы и конкурентное развитие. 2018</w:t>
      </w:r>
      <w:r w:rsidR="003C7B07">
        <w:rPr>
          <w:rFonts w:ascii="Times New Roman" w:hAnsi="Times New Roman" w:cs="Times New Roman"/>
          <w:sz w:val="24"/>
          <w:szCs w:val="24"/>
        </w:rPr>
        <w:t>.</w:t>
      </w:r>
      <w:r w:rsidR="00CA1B7A" w:rsidRPr="009B2CF0">
        <w:rPr>
          <w:rFonts w:ascii="Times New Roman" w:hAnsi="Times New Roman" w:cs="Times New Roman"/>
          <w:sz w:val="24"/>
          <w:szCs w:val="24"/>
        </w:rPr>
        <w:t xml:space="preserve"> С. 222</w:t>
      </w:r>
      <w:r w:rsidR="003C7B07">
        <w:rPr>
          <w:rFonts w:ascii="Times New Roman" w:hAnsi="Times New Roman" w:cs="Times New Roman"/>
          <w:sz w:val="24"/>
          <w:szCs w:val="24"/>
        </w:rPr>
        <w:t>–</w:t>
      </w:r>
      <w:r w:rsidR="00CA1B7A" w:rsidRPr="009B2CF0">
        <w:rPr>
          <w:rFonts w:ascii="Times New Roman" w:hAnsi="Times New Roman" w:cs="Times New Roman"/>
          <w:sz w:val="24"/>
          <w:szCs w:val="24"/>
        </w:rPr>
        <w:t>228</w:t>
      </w:r>
      <w:r w:rsidR="003C7B07">
        <w:rPr>
          <w:rFonts w:ascii="Times New Roman" w:hAnsi="Times New Roman" w:cs="Times New Roman"/>
          <w:sz w:val="24"/>
          <w:szCs w:val="24"/>
        </w:rPr>
        <w:t>.</w:t>
      </w:r>
      <w:bookmarkStart w:id="0" w:name="_GoBack"/>
      <w:bookmarkEnd w:id="0"/>
    </w:p>
    <w:p w:rsidR="00735D4F" w:rsidRPr="003243C7" w:rsidRDefault="0032311D" w:rsidP="000B59D8">
      <w:pPr>
        <w:pStyle w:val="a3"/>
        <w:numPr>
          <w:ilvl w:val="0"/>
          <w:numId w:val="1"/>
        </w:numPr>
        <w:spacing w:after="0" w:line="360" w:lineRule="auto"/>
        <w:ind w:left="0" w:firstLine="567"/>
        <w:jc w:val="both"/>
        <w:rPr>
          <w:rFonts w:ascii="Times New Roman" w:hAnsi="Times New Roman" w:cs="Times New Roman"/>
          <w:sz w:val="24"/>
          <w:szCs w:val="24"/>
        </w:rPr>
      </w:pPr>
      <w:r w:rsidRPr="009B2CF0">
        <w:rPr>
          <w:rFonts w:ascii="Times New Roman" w:hAnsi="Times New Roman" w:cs="Times New Roman"/>
          <w:bCs/>
          <w:sz w:val="24"/>
          <w:szCs w:val="24"/>
          <w:shd w:val="clear" w:color="auto" w:fill="FFFFFF"/>
        </w:rPr>
        <w:t xml:space="preserve">Постановление Правительства РФ от 25 июня 2003 г. </w:t>
      </w:r>
      <w:r w:rsidR="00766A3E" w:rsidRPr="009B2CF0">
        <w:rPr>
          <w:rFonts w:ascii="Times New Roman" w:hAnsi="Times New Roman" w:cs="Times New Roman"/>
          <w:bCs/>
          <w:sz w:val="24"/>
          <w:szCs w:val="24"/>
          <w:shd w:val="clear" w:color="auto" w:fill="FFFFFF"/>
        </w:rPr>
        <w:t>№</w:t>
      </w:r>
      <w:r w:rsidRPr="009B2CF0">
        <w:rPr>
          <w:rFonts w:ascii="Times New Roman" w:hAnsi="Times New Roman" w:cs="Times New Roman"/>
          <w:bCs/>
          <w:sz w:val="24"/>
          <w:szCs w:val="24"/>
          <w:shd w:val="clear" w:color="auto" w:fill="FFFFFF"/>
        </w:rPr>
        <w:t xml:space="preserve"> 367</w:t>
      </w:r>
      <w:r w:rsidR="00766A3E" w:rsidRPr="009B2CF0">
        <w:rPr>
          <w:rFonts w:ascii="Times New Roman" w:hAnsi="Times New Roman" w:cs="Times New Roman"/>
          <w:bCs/>
          <w:sz w:val="24"/>
          <w:szCs w:val="24"/>
          <w:shd w:val="clear" w:color="auto" w:fill="FFFFFF"/>
        </w:rPr>
        <w:t xml:space="preserve"> «</w:t>
      </w:r>
      <w:r w:rsidRPr="009B2CF0">
        <w:rPr>
          <w:rFonts w:ascii="Times New Roman" w:hAnsi="Times New Roman" w:cs="Times New Roman"/>
          <w:bCs/>
          <w:sz w:val="24"/>
          <w:szCs w:val="24"/>
          <w:shd w:val="clear" w:color="auto" w:fill="FFFFFF"/>
        </w:rPr>
        <w:t xml:space="preserve">Об утверждении </w:t>
      </w:r>
      <w:r w:rsidRPr="003243C7">
        <w:rPr>
          <w:rFonts w:ascii="Times New Roman" w:hAnsi="Times New Roman" w:cs="Times New Roman"/>
          <w:bCs/>
          <w:sz w:val="24"/>
          <w:szCs w:val="24"/>
          <w:shd w:val="clear" w:color="auto" w:fill="FFFFFF"/>
        </w:rPr>
        <w:t xml:space="preserve">Правил проведения арбитражным </w:t>
      </w:r>
      <w:r w:rsidR="00766A3E" w:rsidRPr="003243C7">
        <w:rPr>
          <w:rFonts w:ascii="Times New Roman" w:hAnsi="Times New Roman" w:cs="Times New Roman"/>
          <w:bCs/>
          <w:sz w:val="24"/>
          <w:szCs w:val="24"/>
          <w:shd w:val="clear" w:color="auto" w:fill="FFFFFF"/>
        </w:rPr>
        <w:t>управляющим финансового анализ</w:t>
      </w:r>
      <w:r w:rsidR="00E273DA" w:rsidRPr="003243C7">
        <w:rPr>
          <w:rFonts w:ascii="Times New Roman" w:hAnsi="Times New Roman" w:cs="Times New Roman"/>
          <w:bCs/>
          <w:sz w:val="24"/>
          <w:szCs w:val="24"/>
          <w:shd w:val="clear" w:color="auto" w:fill="FFFFFF"/>
        </w:rPr>
        <w:t xml:space="preserve">а» </w:t>
      </w:r>
      <w:r w:rsidR="00E273DA" w:rsidRPr="003243C7">
        <w:rPr>
          <w:rFonts w:ascii="Times New Roman" w:hAnsi="Times New Roman" w:cs="Times New Roman"/>
          <w:bCs/>
          <w:sz w:val="24"/>
          <w:szCs w:val="24"/>
          <w:shd w:val="clear" w:color="auto" w:fill="FFFFFF"/>
          <w:lang w:val="en-US"/>
        </w:rPr>
        <w:t>URL</w:t>
      </w:r>
      <w:r w:rsidR="00E273DA" w:rsidRPr="003243C7">
        <w:rPr>
          <w:rFonts w:ascii="Times New Roman" w:hAnsi="Times New Roman" w:cs="Times New Roman"/>
          <w:bCs/>
          <w:sz w:val="24"/>
          <w:szCs w:val="24"/>
          <w:shd w:val="clear" w:color="auto" w:fill="FFFFFF"/>
        </w:rPr>
        <w:t xml:space="preserve">: </w:t>
      </w:r>
      <w:hyperlink r:id="rId10" w:history="1">
        <w:r w:rsidR="00E273DA" w:rsidRPr="003243C7">
          <w:rPr>
            <w:rStyle w:val="aa"/>
            <w:rFonts w:ascii="Times New Roman" w:hAnsi="Times New Roman" w:cs="Times New Roman"/>
            <w:bCs/>
            <w:color w:val="auto"/>
            <w:sz w:val="24"/>
            <w:szCs w:val="24"/>
            <w:u w:val="none"/>
            <w:shd w:val="clear" w:color="auto" w:fill="FFFFFF"/>
          </w:rPr>
          <w:t>http://www.consultant.ru/document/cons_doc_LAW_42901/7456a19931f65ba12901dc5fc7aa4d75f6327d7e/</w:t>
        </w:r>
      </w:hyperlink>
      <w:r w:rsidR="00E273DA" w:rsidRPr="003243C7">
        <w:rPr>
          <w:rFonts w:ascii="Times New Roman" w:hAnsi="Times New Roman" w:cs="Times New Roman"/>
          <w:bCs/>
          <w:sz w:val="24"/>
          <w:szCs w:val="24"/>
          <w:shd w:val="clear" w:color="auto" w:fill="FFFFFF"/>
        </w:rPr>
        <w:t xml:space="preserve"> (Дата обращения: 06.04.2020)</w:t>
      </w:r>
    </w:p>
    <w:sectPr w:rsidR="00735D4F" w:rsidRPr="003243C7" w:rsidSect="009B2CF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AD8" w:rsidRDefault="00492AD8" w:rsidP="009E5419">
      <w:pPr>
        <w:spacing w:after="0" w:line="240" w:lineRule="auto"/>
      </w:pPr>
      <w:r>
        <w:separator/>
      </w:r>
    </w:p>
  </w:endnote>
  <w:endnote w:type="continuationSeparator" w:id="0">
    <w:p w:rsidR="00492AD8" w:rsidRDefault="00492AD8" w:rsidP="009E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AD8" w:rsidRDefault="00492AD8" w:rsidP="009E5419">
      <w:pPr>
        <w:spacing w:after="0" w:line="240" w:lineRule="auto"/>
      </w:pPr>
      <w:r>
        <w:separator/>
      </w:r>
    </w:p>
  </w:footnote>
  <w:footnote w:type="continuationSeparator" w:id="0">
    <w:p w:rsidR="00492AD8" w:rsidRDefault="00492AD8" w:rsidP="009E5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C02"/>
    <w:multiLevelType w:val="hybridMultilevel"/>
    <w:tmpl w:val="C858759A"/>
    <w:lvl w:ilvl="0" w:tplc="E89E736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195D33"/>
    <w:multiLevelType w:val="hybridMultilevel"/>
    <w:tmpl w:val="6504CBE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3B374F"/>
    <w:multiLevelType w:val="hybridMultilevel"/>
    <w:tmpl w:val="F574F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8C6E9A"/>
    <w:multiLevelType w:val="hybridMultilevel"/>
    <w:tmpl w:val="0CB49C0C"/>
    <w:lvl w:ilvl="0" w:tplc="AB289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733B42"/>
    <w:multiLevelType w:val="hybridMultilevel"/>
    <w:tmpl w:val="0D8AB1C8"/>
    <w:lvl w:ilvl="0" w:tplc="BB1219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9E6580A"/>
    <w:multiLevelType w:val="hybridMultilevel"/>
    <w:tmpl w:val="C6926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85"/>
    <w:rsid w:val="0007789C"/>
    <w:rsid w:val="000875B9"/>
    <w:rsid w:val="000A6E1F"/>
    <w:rsid w:val="000B59D8"/>
    <w:rsid w:val="000C313D"/>
    <w:rsid w:val="000E688A"/>
    <w:rsid w:val="00105D21"/>
    <w:rsid w:val="00162113"/>
    <w:rsid w:val="00171BE0"/>
    <w:rsid w:val="00186DBF"/>
    <w:rsid w:val="00193749"/>
    <w:rsid w:val="001F08C4"/>
    <w:rsid w:val="001F2EE8"/>
    <w:rsid w:val="00217A3D"/>
    <w:rsid w:val="00233E37"/>
    <w:rsid w:val="0024669A"/>
    <w:rsid w:val="00271ED9"/>
    <w:rsid w:val="0029564F"/>
    <w:rsid w:val="00296144"/>
    <w:rsid w:val="002C5F05"/>
    <w:rsid w:val="002E1A54"/>
    <w:rsid w:val="0032311D"/>
    <w:rsid w:val="003243C7"/>
    <w:rsid w:val="0035072B"/>
    <w:rsid w:val="003B5D16"/>
    <w:rsid w:val="003C48A7"/>
    <w:rsid w:val="003C7B07"/>
    <w:rsid w:val="003E1407"/>
    <w:rsid w:val="003F40A3"/>
    <w:rsid w:val="00401085"/>
    <w:rsid w:val="004209F1"/>
    <w:rsid w:val="00462B67"/>
    <w:rsid w:val="004660D9"/>
    <w:rsid w:val="00472BAB"/>
    <w:rsid w:val="004804A5"/>
    <w:rsid w:val="00487FBF"/>
    <w:rsid w:val="00492AD8"/>
    <w:rsid w:val="004932A7"/>
    <w:rsid w:val="004D70E9"/>
    <w:rsid w:val="00532323"/>
    <w:rsid w:val="005519C7"/>
    <w:rsid w:val="005943AF"/>
    <w:rsid w:val="005C359C"/>
    <w:rsid w:val="005C712D"/>
    <w:rsid w:val="00602B16"/>
    <w:rsid w:val="0060666A"/>
    <w:rsid w:val="00612FAF"/>
    <w:rsid w:val="00650034"/>
    <w:rsid w:val="00663200"/>
    <w:rsid w:val="0066733E"/>
    <w:rsid w:val="00693097"/>
    <w:rsid w:val="006932CD"/>
    <w:rsid w:val="006E6BC6"/>
    <w:rsid w:val="007008A2"/>
    <w:rsid w:val="0073254F"/>
    <w:rsid w:val="00735D4F"/>
    <w:rsid w:val="00766A3E"/>
    <w:rsid w:val="0077771E"/>
    <w:rsid w:val="007A2780"/>
    <w:rsid w:val="0080354A"/>
    <w:rsid w:val="00810AA2"/>
    <w:rsid w:val="00830204"/>
    <w:rsid w:val="00842C07"/>
    <w:rsid w:val="008A79FF"/>
    <w:rsid w:val="008C1021"/>
    <w:rsid w:val="00946D52"/>
    <w:rsid w:val="00953B5E"/>
    <w:rsid w:val="009B2CF0"/>
    <w:rsid w:val="009E1B00"/>
    <w:rsid w:val="009E5419"/>
    <w:rsid w:val="00A16B87"/>
    <w:rsid w:val="00A34081"/>
    <w:rsid w:val="00A42CD4"/>
    <w:rsid w:val="00AF2C4C"/>
    <w:rsid w:val="00B4291F"/>
    <w:rsid w:val="00B80FDD"/>
    <w:rsid w:val="00B944A7"/>
    <w:rsid w:val="00BA2BE9"/>
    <w:rsid w:val="00BB0B78"/>
    <w:rsid w:val="00BE7E7B"/>
    <w:rsid w:val="00C0146C"/>
    <w:rsid w:val="00C26AA5"/>
    <w:rsid w:val="00C33D14"/>
    <w:rsid w:val="00C459CC"/>
    <w:rsid w:val="00C77E74"/>
    <w:rsid w:val="00C803E5"/>
    <w:rsid w:val="00CA1B7A"/>
    <w:rsid w:val="00CC3A97"/>
    <w:rsid w:val="00CE7BED"/>
    <w:rsid w:val="00D3604E"/>
    <w:rsid w:val="00DB64A1"/>
    <w:rsid w:val="00DE2A03"/>
    <w:rsid w:val="00E273DA"/>
    <w:rsid w:val="00E378D0"/>
    <w:rsid w:val="00E72EF2"/>
    <w:rsid w:val="00E8284F"/>
    <w:rsid w:val="00E85D82"/>
    <w:rsid w:val="00ED5FEE"/>
    <w:rsid w:val="00EE109C"/>
    <w:rsid w:val="00F31AE6"/>
    <w:rsid w:val="00F44503"/>
    <w:rsid w:val="00F64C6F"/>
    <w:rsid w:val="00F70961"/>
    <w:rsid w:val="00FA7CC5"/>
    <w:rsid w:val="00FD7E7E"/>
    <w:rsid w:val="00FE1999"/>
    <w:rsid w:val="00FE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C1E9A-E3CA-44E8-B1FF-017417A2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9C7"/>
    <w:pPr>
      <w:ind w:left="720"/>
      <w:contextualSpacing/>
    </w:pPr>
  </w:style>
  <w:style w:type="paragraph" w:styleId="a4">
    <w:name w:val="Normal (Web)"/>
    <w:basedOn w:val="a"/>
    <w:uiPriority w:val="99"/>
    <w:semiHidden/>
    <w:unhideWhenUsed/>
    <w:rsid w:val="00FE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E2593"/>
    <w:rPr>
      <w:b/>
      <w:bCs/>
    </w:rPr>
  </w:style>
  <w:style w:type="paragraph" w:styleId="a6">
    <w:name w:val="header"/>
    <w:basedOn w:val="a"/>
    <w:link w:val="a7"/>
    <w:uiPriority w:val="99"/>
    <w:unhideWhenUsed/>
    <w:rsid w:val="009E54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5419"/>
  </w:style>
  <w:style w:type="paragraph" w:styleId="a8">
    <w:name w:val="footer"/>
    <w:basedOn w:val="a"/>
    <w:link w:val="a9"/>
    <w:uiPriority w:val="99"/>
    <w:unhideWhenUsed/>
    <w:rsid w:val="009E54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5419"/>
  </w:style>
  <w:style w:type="paragraph" w:customStyle="1" w:styleId="Default">
    <w:name w:val="Default"/>
    <w:rsid w:val="006066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Hyperlink"/>
    <w:basedOn w:val="a0"/>
    <w:uiPriority w:val="99"/>
    <w:unhideWhenUsed/>
    <w:rsid w:val="0060666A"/>
    <w:rPr>
      <w:color w:val="0000FF"/>
      <w:u w:val="single"/>
    </w:rPr>
  </w:style>
  <w:style w:type="table" w:styleId="ab">
    <w:name w:val="Table Grid"/>
    <w:basedOn w:val="a1"/>
    <w:uiPriority w:val="39"/>
    <w:rsid w:val="000E6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qFormat/>
    <w:rsid w:val="00233E37"/>
    <w:pPr>
      <w:spacing w:after="0" w:line="360" w:lineRule="auto"/>
      <w:ind w:firstLine="567"/>
      <w:jc w:val="both"/>
    </w:pPr>
    <w:rPr>
      <w:rFonts w:ascii="Times New Roman" w:hAnsi="Times New Roman" w:cs="Times New Roman"/>
      <w:sz w:val="24"/>
      <w:szCs w:val="24"/>
    </w:rPr>
  </w:style>
  <w:style w:type="paragraph" w:customStyle="1" w:styleId="bigtext">
    <w:name w:val="bigtext"/>
    <w:basedOn w:val="a"/>
    <w:rsid w:val="00D360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238306">
      <w:bodyDiv w:val="1"/>
      <w:marLeft w:val="0"/>
      <w:marRight w:val="0"/>
      <w:marTop w:val="0"/>
      <w:marBottom w:val="0"/>
      <w:divBdr>
        <w:top w:val="none" w:sz="0" w:space="0" w:color="auto"/>
        <w:left w:val="none" w:sz="0" w:space="0" w:color="auto"/>
        <w:bottom w:val="none" w:sz="0" w:space="0" w:color="auto"/>
        <w:right w:val="none" w:sz="0" w:space="0" w:color="auto"/>
      </w:divBdr>
    </w:div>
    <w:div w:id="951744207">
      <w:bodyDiv w:val="1"/>
      <w:marLeft w:val="0"/>
      <w:marRight w:val="0"/>
      <w:marTop w:val="0"/>
      <w:marBottom w:val="0"/>
      <w:divBdr>
        <w:top w:val="none" w:sz="0" w:space="0" w:color="auto"/>
        <w:left w:val="none" w:sz="0" w:space="0" w:color="auto"/>
        <w:bottom w:val="none" w:sz="0" w:space="0" w:color="auto"/>
        <w:right w:val="none" w:sz="0" w:space="0" w:color="auto"/>
      </w:divBdr>
    </w:div>
    <w:div w:id="1400056677">
      <w:bodyDiv w:val="1"/>
      <w:marLeft w:val="0"/>
      <w:marRight w:val="0"/>
      <w:marTop w:val="0"/>
      <w:marBottom w:val="0"/>
      <w:divBdr>
        <w:top w:val="none" w:sz="0" w:space="0" w:color="auto"/>
        <w:left w:val="none" w:sz="0" w:space="0" w:color="auto"/>
        <w:bottom w:val="none" w:sz="0" w:space="0" w:color="auto"/>
        <w:right w:val="none" w:sz="0" w:space="0" w:color="auto"/>
      </w:divBdr>
    </w:div>
    <w:div w:id="1491673970">
      <w:bodyDiv w:val="1"/>
      <w:marLeft w:val="0"/>
      <w:marRight w:val="0"/>
      <w:marTop w:val="0"/>
      <w:marBottom w:val="0"/>
      <w:divBdr>
        <w:top w:val="none" w:sz="0" w:space="0" w:color="auto"/>
        <w:left w:val="none" w:sz="0" w:space="0" w:color="auto"/>
        <w:bottom w:val="none" w:sz="0" w:space="0" w:color="auto"/>
        <w:right w:val="none" w:sz="0" w:space="0" w:color="auto"/>
      </w:divBdr>
    </w:div>
    <w:div w:id="1730568898">
      <w:bodyDiv w:val="1"/>
      <w:marLeft w:val="0"/>
      <w:marRight w:val="0"/>
      <w:marTop w:val="0"/>
      <w:marBottom w:val="0"/>
      <w:divBdr>
        <w:top w:val="none" w:sz="0" w:space="0" w:color="auto"/>
        <w:left w:val="none" w:sz="0" w:space="0" w:color="auto"/>
        <w:bottom w:val="none" w:sz="0" w:space="0" w:color="auto"/>
        <w:right w:val="none" w:sz="0" w:space="0" w:color="auto"/>
      </w:divBdr>
    </w:div>
    <w:div w:id="19389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ka12@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42901/7456a19931f65ba12901dc5fc7aa4d75f6327d7e/" TargetMode="External"/><Relationship Id="rId4" Type="http://schemas.openxmlformats.org/officeDocument/2006/relationships/settings" Target="settings.xml"/><Relationship Id="rId9" Type="http://schemas.openxmlformats.org/officeDocument/2006/relationships/hyperlink" Target="mailto:alexkissm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64E0-2AD0-4895-8A26-0DB22BE7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Андрей</cp:lastModifiedBy>
  <cp:revision>7</cp:revision>
  <dcterms:created xsi:type="dcterms:W3CDTF">2020-06-04T13:35:00Z</dcterms:created>
  <dcterms:modified xsi:type="dcterms:W3CDTF">2020-09-21T13:56:00Z</dcterms:modified>
</cp:coreProperties>
</file>